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7C8" w:rsidRDefault="00B757C8" w:rsidP="00B757C8">
      <w:pPr>
        <w:pBdr>
          <w:top w:val="single" w:sz="4" w:space="1" w:color="auto"/>
          <w:left w:val="single" w:sz="4" w:space="4" w:color="auto"/>
          <w:bottom w:val="single" w:sz="4" w:space="1" w:color="auto"/>
          <w:right w:val="single" w:sz="4" w:space="4" w:color="auto"/>
        </w:pBdr>
        <w:jc w:val="center"/>
        <w:rPr>
          <w:b/>
          <w:color w:val="0070C0"/>
        </w:rPr>
      </w:pPr>
      <w:bookmarkStart w:id="0" w:name="_GoBack"/>
      <w:bookmarkEnd w:id="0"/>
      <w:r w:rsidRPr="00B757C8">
        <w:rPr>
          <w:b/>
          <w:color w:val="0070C0"/>
        </w:rPr>
        <w:t xml:space="preserve">Méthodologie repère des délais de paiement </w:t>
      </w:r>
    </w:p>
    <w:p w:rsidR="00B757C8" w:rsidRDefault="00B757C8" w:rsidP="00B757C8">
      <w:pPr>
        <w:pBdr>
          <w:top w:val="single" w:sz="4" w:space="1" w:color="auto"/>
          <w:left w:val="single" w:sz="4" w:space="4" w:color="auto"/>
          <w:bottom w:val="single" w:sz="4" w:space="1" w:color="auto"/>
          <w:right w:val="single" w:sz="4" w:space="4" w:color="auto"/>
        </w:pBdr>
        <w:jc w:val="center"/>
        <w:rPr>
          <w:b/>
          <w:color w:val="0070C0"/>
        </w:rPr>
      </w:pPr>
      <w:r w:rsidRPr="00B757C8">
        <w:rPr>
          <w:b/>
          <w:color w:val="0070C0"/>
        </w:rPr>
        <w:t xml:space="preserve">dans le cadre du label </w:t>
      </w:r>
      <w:r>
        <w:rPr>
          <w:b/>
          <w:color w:val="0070C0"/>
        </w:rPr>
        <w:t>« </w:t>
      </w:r>
      <w:r w:rsidRPr="00B757C8">
        <w:rPr>
          <w:b/>
          <w:color w:val="0070C0"/>
        </w:rPr>
        <w:t>Relations fournisseurs et achats responsables</w:t>
      </w:r>
      <w:r>
        <w:rPr>
          <w:b/>
          <w:color w:val="0070C0"/>
        </w:rPr>
        <w:t> »</w:t>
      </w:r>
      <w:r w:rsidRPr="00B757C8">
        <w:rPr>
          <w:b/>
          <w:color w:val="0070C0"/>
        </w:rPr>
        <w:t xml:space="preserve"> </w:t>
      </w:r>
    </w:p>
    <w:p w:rsidR="00B757C8" w:rsidRPr="00B757C8" w:rsidRDefault="00B757C8" w:rsidP="00B757C8">
      <w:pPr>
        <w:pBdr>
          <w:top w:val="single" w:sz="4" w:space="1" w:color="auto"/>
          <w:left w:val="single" w:sz="4" w:space="4" w:color="auto"/>
          <w:bottom w:val="single" w:sz="4" w:space="1" w:color="auto"/>
          <w:right w:val="single" w:sz="4" w:space="4" w:color="auto"/>
        </w:pBdr>
        <w:jc w:val="center"/>
        <w:rPr>
          <w:b/>
          <w:color w:val="0070C0"/>
        </w:rPr>
      </w:pPr>
      <w:r>
        <w:rPr>
          <w:b/>
          <w:color w:val="0070C0"/>
        </w:rPr>
        <w:t xml:space="preserve">Version : </w:t>
      </w:r>
      <w:r w:rsidR="0045117B">
        <w:rPr>
          <w:b/>
          <w:color w:val="0070C0"/>
        </w:rPr>
        <w:t>1</w:t>
      </w:r>
      <w:r w:rsidR="0045117B" w:rsidRPr="0045117B">
        <w:rPr>
          <w:b/>
          <w:color w:val="0070C0"/>
          <w:vertAlign w:val="superscript"/>
        </w:rPr>
        <w:t>er</w:t>
      </w:r>
      <w:r w:rsidR="0045117B">
        <w:rPr>
          <w:b/>
          <w:color w:val="0070C0"/>
        </w:rPr>
        <w:t xml:space="preserve"> octobre</w:t>
      </w:r>
      <w:r w:rsidRPr="00B757C8">
        <w:rPr>
          <w:b/>
          <w:color w:val="0070C0"/>
        </w:rPr>
        <w:t xml:space="preserve"> 2021</w:t>
      </w:r>
    </w:p>
    <w:p w:rsidR="00B757C8" w:rsidRDefault="00B757C8" w:rsidP="00654395">
      <w:pPr>
        <w:rPr>
          <w:b/>
          <w:color w:val="0070C0"/>
          <w:u w:val="single"/>
        </w:rPr>
      </w:pPr>
    </w:p>
    <w:p w:rsidR="00654395" w:rsidRPr="009D6312" w:rsidRDefault="00654395" w:rsidP="00654395">
      <w:pPr>
        <w:rPr>
          <w:color w:val="0070C0"/>
        </w:rPr>
      </w:pPr>
      <w:r w:rsidRPr="009D6312">
        <w:rPr>
          <w:b/>
          <w:color w:val="0070C0"/>
          <w:u w:val="single"/>
        </w:rPr>
        <w:t>Introduction</w:t>
      </w:r>
    </w:p>
    <w:p w:rsidR="00654395" w:rsidRPr="009D6312" w:rsidRDefault="00654395" w:rsidP="009D6312">
      <w:pPr>
        <w:jc w:val="both"/>
        <w:rPr>
          <w:color w:val="0070C0"/>
        </w:rPr>
      </w:pPr>
      <w:r w:rsidRPr="009D6312">
        <w:rPr>
          <w:color w:val="0070C0"/>
        </w:rPr>
        <w:t>Le descriptif de méthodologie de mesure des délais de paiement a été élaboré par un groupe de travail composé de personnalités qualifiées du comité d'attribution du label, issues du collège CNA et du collège Médiation des entreprises, experts du sujet des délais de paiement, du label et/ou labellisés.</w:t>
      </w:r>
    </w:p>
    <w:p w:rsidR="0045117B" w:rsidRDefault="0045117B" w:rsidP="00654395">
      <w:pPr>
        <w:rPr>
          <w:color w:val="0070C0"/>
        </w:rPr>
      </w:pPr>
    </w:p>
    <w:p w:rsidR="00654395" w:rsidRPr="009D6312" w:rsidRDefault="00654395" w:rsidP="00654395">
      <w:pPr>
        <w:rPr>
          <w:b/>
          <w:color w:val="0070C0"/>
          <w:u w:val="single"/>
        </w:rPr>
      </w:pPr>
      <w:r w:rsidRPr="009D6312">
        <w:rPr>
          <w:color w:val="0070C0"/>
        </w:rPr>
        <w:t xml:space="preserve"> </w:t>
      </w:r>
      <w:r w:rsidR="009D6312">
        <w:rPr>
          <w:b/>
          <w:color w:val="0070C0"/>
          <w:u w:val="single"/>
        </w:rPr>
        <w:t>Objet</w:t>
      </w:r>
    </w:p>
    <w:p w:rsidR="00654395" w:rsidRPr="009D6312" w:rsidRDefault="00654395" w:rsidP="009D6312">
      <w:pPr>
        <w:jc w:val="both"/>
        <w:rPr>
          <w:color w:val="0070C0"/>
        </w:rPr>
      </w:pPr>
      <w:r w:rsidRPr="009D6312">
        <w:rPr>
          <w:color w:val="0070C0"/>
        </w:rPr>
        <w:t xml:space="preserve">L'objectif de cette méthodologie de calcul des délais de paiement est de partager explicitement une définition repère et de permettre à chaque candidat au Label  (et labellisé pour les mises sous revues annuelles) de présenter des résultats facilement évaluables et/ou de faire ressortir ses éventuels paramétrages particuliers. </w:t>
      </w:r>
    </w:p>
    <w:p w:rsidR="00654395" w:rsidRPr="009D6312" w:rsidRDefault="00654395" w:rsidP="009D6312">
      <w:pPr>
        <w:jc w:val="both"/>
        <w:rPr>
          <w:color w:val="0070C0"/>
        </w:rPr>
      </w:pPr>
      <w:r w:rsidRPr="009D6312">
        <w:rPr>
          <w:color w:val="0070C0"/>
        </w:rPr>
        <w:t>Il ne s'agit ni de faire évoluer les méthodes de calcul mises en place chez chacun ni d'imposer un standard.</w:t>
      </w:r>
    </w:p>
    <w:p w:rsidR="00654395" w:rsidRPr="009D6312" w:rsidRDefault="00654395" w:rsidP="009D6312">
      <w:pPr>
        <w:jc w:val="both"/>
        <w:rPr>
          <w:color w:val="0070C0"/>
        </w:rPr>
      </w:pPr>
      <w:r w:rsidRPr="009D6312">
        <w:rPr>
          <w:color w:val="0070C0"/>
        </w:rPr>
        <w:t xml:space="preserve">Ce repérage permettra que </w:t>
      </w:r>
      <w:r w:rsidR="009D6312">
        <w:rPr>
          <w:color w:val="0070C0"/>
        </w:rPr>
        <w:t xml:space="preserve">l’évaluateur et </w:t>
      </w:r>
      <w:r w:rsidRPr="009D6312">
        <w:rPr>
          <w:color w:val="0070C0"/>
        </w:rPr>
        <w:t xml:space="preserve">les membres du comité d'attribution puissent mieux apprécier si les résultats présentés par tel ou tel labellisé ou candidat au label sont </w:t>
      </w:r>
      <w:r w:rsidR="009D6312">
        <w:rPr>
          <w:color w:val="0070C0"/>
        </w:rPr>
        <w:t xml:space="preserve">dans une norme acceptable par comparaison </w:t>
      </w:r>
      <w:r w:rsidRPr="009D6312">
        <w:rPr>
          <w:color w:val="0070C0"/>
        </w:rPr>
        <w:t xml:space="preserve">à ceux d'une autre entité. </w:t>
      </w:r>
    </w:p>
    <w:p w:rsidR="00654395" w:rsidRPr="009D6312" w:rsidRDefault="00654395" w:rsidP="009D6312">
      <w:pPr>
        <w:jc w:val="both"/>
        <w:rPr>
          <w:color w:val="0070C0"/>
        </w:rPr>
      </w:pPr>
      <w:r w:rsidRPr="009D6312">
        <w:rPr>
          <w:color w:val="0070C0"/>
        </w:rPr>
        <w:t xml:space="preserve">L'enjeu est de garantir une bonne compréhension des indicateurs présentés et en conséquence une équité d'évaluation pour les appréciations des évaluateurs et lors de l'examen par le comité d'attribution de la candidature au label ou des mises sous revue annuelles. </w:t>
      </w:r>
    </w:p>
    <w:p w:rsidR="0045117B" w:rsidRDefault="0045117B" w:rsidP="0045117B">
      <w:pPr>
        <w:jc w:val="center"/>
        <w:rPr>
          <w:b/>
          <w:color w:val="0070C0"/>
          <w:u w:val="single"/>
        </w:rPr>
      </w:pPr>
    </w:p>
    <w:p w:rsidR="0045117B" w:rsidRDefault="0045117B" w:rsidP="0045117B">
      <w:pPr>
        <w:jc w:val="center"/>
        <w:rPr>
          <w:b/>
          <w:color w:val="0070C0"/>
          <w:u w:val="single"/>
        </w:rPr>
      </w:pPr>
    </w:p>
    <w:p w:rsidR="00654395" w:rsidRPr="009D6312" w:rsidRDefault="00654395" w:rsidP="0045117B">
      <w:pPr>
        <w:jc w:val="center"/>
        <w:rPr>
          <w:color w:val="0070C0"/>
        </w:rPr>
      </w:pPr>
      <w:r w:rsidRPr="009D6312">
        <w:rPr>
          <w:b/>
          <w:color w:val="0070C0"/>
          <w:u w:val="single"/>
        </w:rPr>
        <w:t>Définition de la méthodologie repère</w:t>
      </w:r>
    </w:p>
    <w:p w:rsidR="00654395" w:rsidRPr="009D6312" w:rsidRDefault="009D6312" w:rsidP="009D6312">
      <w:pPr>
        <w:jc w:val="both"/>
        <w:rPr>
          <w:color w:val="0070C0"/>
        </w:rPr>
      </w:pPr>
      <w:r w:rsidRPr="009D6312">
        <w:rPr>
          <w:color w:val="0070C0"/>
        </w:rPr>
        <w:t>Ci-après</w:t>
      </w:r>
      <w:r w:rsidR="00654395" w:rsidRPr="009D6312">
        <w:rPr>
          <w:color w:val="0070C0"/>
        </w:rPr>
        <w:t xml:space="preserve"> le détail de la méthodologie repère définie par le labell</w:t>
      </w:r>
      <w:r>
        <w:rPr>
          <w:color w:val="0070C0"/>
        </w:rPr>
        <w:t>isateur : périmètre des données</w:t>
      </w:r>
      <w:r w:rsidR="00654395" w:rsidRPr="009D6312">
        <w:rPr>
          <w:color w:val="0070C0"/>
        </w:rPr>
        <w:t>, méthode de calcul des délais, indic</w:t>
      </w:r>
      <w:r w:rsidR="00BF7B82">
        <w:rPr>
          <w:color w:val="0070C0"/>
        </w:rPr>
        <w:t>ateurs à fournir à l'évaluateur.</w:t>
      </w:r>
    </w:p>
    <w:p w:rsidR="00654395" w:rsidRPr="0045117B" w:rsidRDefault="00654395" w:rsidP="00654395">
      <w:pPr>
        <w:rPr>
          <w:b/>
          <w:color w:val="0070C0"/>
        </w:rPr>
      </w:pPr>
      <w:r w:rsidRPr="0045117B">
        <w:rPr>
          <w:b/>
          <w:color w:val="0070C0"/>
        </w:rPr>
        <w:t xml:space="preserve"> </w:t>
      </w:r>
      <w:r w:rsidR="009D6312" w:rsidRPr="0045117B">
        <w:rPr>
          <w:b/>
          <w:color w:val="0070C0"/>
        </w:rPr>
        <w:t>1.</w:t>
      </w:r>
      <w:r w:rsidRPr="0045117B">
        <w:rPr>
          <w:b/>
          <w:color w:val="0070C0"/>
        </w:rPr>
        <w:t xml:space="preserve"> </w:t>
      </w:r>
      <w:r w:rsidRPr="0045117B">
        <w:rPr>
          <w:b/>
          <w:color w:val="0070C0"/>
          <w:u w:val="single"/>
        </w:rPr>
        <w:t>Périmètre des données</w:t>
      </w:r>
      <w:r w:rsidRPr="0045117B">
        <w:rPr>
          <w:b/>
          <w:color w:val="0070C0"/>
        </w:rPr>
        <w:t xml:space="preserve"> : </w:t>
      </w:r>
    </w:p>
    <w:p w:rsidR="00654395" w:rsidRPr="00BF7B82" w:rsidRDefault="009D6312" w:rsidP="009D6312">
      <w:pPr>
        <w:rPr>
          <w:i/>
          <w:color w:val="0070C0"/>
        </w:rPr>
      </w:pPr>
      <w:r w:rsidRPr="00BF7B82">
        <w:rPr>
          <w:i/>
          <w:color w:val="0070C0"/>
        </w:rPr>
        <w:t xml:space="preserve">- </w:t>
      </w:r>
      <w:r w:rsidR="00654395" w:rsidRPr="00BF7B82">
        <w:rPr>
          <w:i/>
          <w:color w:val="0070C0"/>
        </w:rPr>
        <w:t>Fournisseurs immatriculés en France, à l'exclusion des maisons mères/sœurs/filles</w:t>
      </w:r>
    </w:p>
    <w:p w:rsidR="00654395" w:rsidRPr="00BF7B82" w:rsidRDefault="009D6312" w:rsidP="00654395">
      <w:pPr>
        <w:rPr>
          <w:i/>
          <w:color w:val="0070C0"/>
        </w:rPr>
      </w:pPr>
      <w:r w:rsidRPr="00BF7B82">
        <w:rPr>
          <w:i/>
          <w:color w:val="0070C0"/>
        </w:rPr>
        <w:t xml:space="preserve">- </w:t>
      </w:r>
      <w:r w:rsidR="00654395" w:rsidRPr="00BF7B82">
        <w:rPr>
          <w:i/>
          <w:color w:val="0070C0"/>
        </w:rPr>
        <w:t xml:space="preserve">Dépenses (y compris payées par carte d'achat) imputées aux comptes de charges ou déduites du CA </w:t>
      </w:r>
      <w:r w:rsidR="0038277A">
        <w:rPr>
          <w:i/>
          <w:color w:val="0070C0"/>
        </w:rPr>
        <w:t xml:space="preserve">(chiffre d’affaires) </w:t>
      </w:r>
      <w:r w:rsidR="00654395" w:rsidRPr="00BF7B82">
        <w:rPr>
          <w:i/>
          <w:color w:val="0070C0"/>
        </w:rPr>
        <w:t xml:space="preserve">ou </w:t>
      </w:r>
      <w:r w:rsidR="0038277A">
        <w:rPr>
          <w:i/>
          <w:color w:val="0070C0"/>
        </w:rPr>
        <w:t xml:space="preserve">du </w:t>
      </w:r>
      <w:r w:rsidR="00654395" w:rsidRPr="00BF7B82">
        <w:rPr>
          <w:i/>
          <w:color w:val="0070C0"/>
        </w:rPr>
        <w:t>PNB/PNA (produit net bancaire ou assurance) :</w:t>
      </w:r>
    </w:p>
    <w:p w:rsidR="009D6312" w:rsidRPr="00BF7B82" w:rsidRDefault="00654395" w:rsidP="009D6312">
      <w:pPr>
        <w:pStyle w:val="Paragraphedeliste"/>
        <w:numPr>
          <w:ilvl w:val="0"/>
          <w:numId w:val="2"/>
        </w:numPr>
        <w:rPr>
          <w:i/>
          <w:color w:val="0070C0"/>
        </w:rPr>
      </w:pPr>
      <w:r w:rsidRPr="00BF7B82">
        <w:rPr>
          <w:i/>
          <w:color w:val="0070C0"/>
        </w:rPr>
        <w:t>Achats (avec ou sans commande)</w:t>
      </w:r>
    </w:p>
    <w:p w:rsidR="009D6312" w:rsidRPr="00BF7B82" w:rsidRDefault="00654395" w:rsidP="009D6312">
      <w:pPr>
        <w:pStyle w:val="Paragraphedeliste"/>
        <w:numPr>
          <w:ilvl w:val="0"/>
          <w:numId w:val="2"/>
        </w:numPr>
        <w:rPr>
          <w:i/>
          <w:color w:val="0070C0"/>
        </w:rPr>
      </w:pPr>
      <w:r w:rsidRPr="00BF7B82">
        <w:rPr>
          <w:i/>
          <w:color w:val="0070C0"/>
        </w:rPr>
        <w:t>Prestations de service ou de sous-traitance</w:t>
      </w:r>
      <w:r w:rsidR="009D6312" w:rsidRPr="00BF7B82">
        <w:rPr>
          <w:i/>
          <w:color w:val="0070C0"/>
        </w:rPr>
        <w:t xml:space="preserve"> </w:t>
      </w:r>
    </w:p>
    <w:p w:rsidR="009D6312" w:rsidRPr="00BF7B82" w:rsidRDefault="00654395" w:rsidP="009D6312">
      <w:pPr>
        <w:pStyle w:val="Paragraphedeliste"/>
        <w:numPr>
          <w:ilvl w:val="0"/>
          <w:numId w:val="2"/>
        </w:numPr>
        <w:rPr>
          <w:i/>
          <w:color w:val="0070C0"/>
        </w:rPr>
      </w:pPr>
      <w:r w:rsidRPr="00BF7B82">
        <w:rPr>
          <w:i/>
          <w:color w:val="0070C0"/>
        </w:rPr>
        <w:t>Honoraires</w:t>
      </w:r>
    </w:p>
    <w:p w:rsidR="009D6312" w:rsidRPr="00BF7B82" w:rsidRDefault="00654395" w:rsidP="009D6312">
      <w:pPr>
        <w:pStyle w:val="Paragraphedeliste"/>
        <w:numPr>
          <w:ilvl w:val="0"/>
          <w:numId w:val="2"/>
        </w:numPr>
        <w:rPr>
          <w:i/>
          <w:color w:val="0070C0"/>
        </w:rPr>
      </w:pPr>
      <w:r w:rsidRPr="00BF7B82">
        <w:rPr>
          <w:i/>
          <w:color w:val="0070C0"/>
        </w:rPr>
        <w:t>Commissions (assurance, co</w:t>
      </w:r>
      <w:r w:rsidR="009D6312" w:rsidRPr="00BF7B82">
        <w:rPr>
          <w:i/>
          <w:color w:val="0070C0"/>
        </w:rPr>
        <w:t>urtage, apporteurs d'affaires…)</w:t>
      </w:r>
    </w:p>
    <w:p w:rsidR="00654395" w:rsidRPr="00BF7B82" w:rsidRDefault="00654395" w:rsidP="009D6312">
      <w:pPr>
        <w:pStyle w:val="Paragraphedeliste"/>
        <w:numPr>
          <w:ilvl w:val="0"/>
          <w:numId w:val="2"/>
        </w:numPr>
        <w:rPr>
          <w:i/>
          <w:color w:val="0070C0"/>
        </w:rPr>
      </w:pPr>
      <w:r w:rsidRPr="00BF7B82">
        <w:rPr>
          <w:i/>
          <w:color w:val="0070C0"/>
        </w:rPr>
        <w:t>Abonnements</w:t>
      </w:r>
    </w:p>
    <w:p w:rsidR="00654395" w:rsidRPr="00BF7B82" w:rsidRDefault="00654395" w:rsidP="009D6312">
      <w:pPr>
        <w:pStyle w:val="Paragraphedeliste"/>
        <w:numPr>
          <w:ilvl w:val="0"/>
          <w:numId w:val="2"/>
        </w:numPr>
        <w:rPr>
          <w:i/>
          <w:color w:val="0070C0"/>
        </w:rPr>
      </w:pPr>
      <w:r w:rsidRPr="00BF7B82">
        <w:rPr>
          <w:i/>
          <w:color w:val="0070C0"/>
        </w:rPr>
        <w:t xml:space="preserve">Redevances </w:t>
      </w:r>
    </w:p>
    <w:p w:rsidR="00654395" w:rsidRPr="00BF7B82" w:rsidRDefault="009D6312" w:rsidP="009D6312">
      <w:pPr>
        <w:pStyle w:val="Paragraphedeliste"/>
        <w:numPr>
          <w:ilvl w:val="0"/>
          <w:numId w:val="2"/>
        </w:numPr>
        <w:rPr>
          <w:i/>
          <w:color w:val="0070C0"/>
        </w:rPr>
      </w:pPr>
      <w:r w:rsidRPr="00BF7B82">
        <w:rPr>
          <w:i/>
          <w:color w:val="0070C0"/>
        </w:rPr>
        <w:lastRenderedPageBreak/>
        <w:t>L</w:t>
      </w:r>
      <w:r w:rsidR="00654395" w:rsidRPr="00BF7B82">
        <w:rPr>
          <w:i/>
          <w:color w:val="0070C0"/>
        </w:rPr>
        <w:t xml:space="preserve">oyers </w:t>
      </w:r>
    </w:p>
    <w:p w:rsidR="00654395" w:rsidRPr="00BF7B82" w:rsidRDefault="00654395" w:rsidP="009D6312">
      <w:pPr>
        <w:pStyle w:val="Paragraphedeliste"/>
        <w:numPr>
          <w:ilvl w:val="0"/>
          <w:numId w:val="2"/>
        </w:numPr>
        <w:rPr>
          <w:i/>
          <w:color w:val="0070C0"/>
        </w:rPr>
      </w:pPr>
      <w:r w:rsidRPr="00BF7B82">
        <w:rPr>
          <w:i/>
          <w:color w:val="0070C0"/>
        </w:rPr>
        <w:t xml:space="preserve">Assurances </w:t>
      </w:r>
    </w:p>
    <w:p w:rsidR="009D6312" w:rsidRPr="00BF7B82" w:rsidRDefault="009D6312" w:rsidP="009D6312">
      <w:pPr>
        <w:pStyle w:val="Paragraphedeliste"/>
        <w:numPr>
          <w:ilvl w:val="0"/>
          <w:numId w:val="2"/>
        </w:numPr>
        <w:rPr>
          <w:i/>
          <w:color w:val="0070C0"/>
        </w:rPr>
      </w:pPr>
      <w:r w:rsidRPr="00BF7B82">
        <w:rPr>
          <w:i/>
          <w:color w:val="0070C0"/>
        </w:rPr>
        <w:t>Immobilier</w:t>
      </w:r>
    </w:p>
    <w:p w:rsidR="00BF7B82" w:rsidRDefault="00BF7B82" w:rsidP="009D6312">
      <w:pPr>
        <w:pStyle w:val="Paragraphedeliste"/>
        <w:numPr>
          <w:ilvl w:val="0"/>
          <w:numId w:val="2"/>
        </w:numPr>
        <w:rPr>
          <w:i/>
          <w:color w:val="0070C0"/>
        </w:rPr>
      </w:pPr>
      <w:r>
        <w:rPr>
          <w:i/>
          <w:color w:val="0070C0"/>
        </w:rPr>
        <w:t xml:space="preserve">Cotisations avec TVA     </w:t>
      </w:r>
    </w:p>
    <w:p w:rsidR="00654395" w:rsidRPr="00BF7B82" w:rsidRDefault="00BF7B82" w:rsidP="00BF7B82">
      <w:pPr>
        <w:ind w:left="708"/>
        <w:jc w:val="both"/>
        <w:rPr>
          <w:i/>
          <w:color w:val="0070C0"/>
        </w:rPr>
      </w:pPr>
      <w:r>
        <w:rPr>
          <w:i/>
          <w:color w:val="0070C0"/>
        </w:rPr>
        <w:t xml:space="preserve">NB : </w:t>
      </w:r>
      <w:r w:rsidRPr="00BF7B82">
        <w:rPr>
          <w:i/>
          <w:color w:val="0070C0"/>
        </w:rPr>
        <w:t>Inclure tous avoirs et factures, y compris d'acompte, y compris litigieuses, y compris payées partiellement ou non</w:t>
      </w:r>
      <w:r w:rsidR="00654395" w:rsidRPr="00BF7B82">
        <w:rPr>
          <w:i/>
          <w:color w:val="0070C0"/>
        </w:rPr>
        <w:t xml:space="preserve">     </w:t>
      </w:r>
    </w:p>
    <w:p w:rsidR="00654395" w:rsidRPr="00BF7B82" w:rsidRDefault="00654395" w:rsidP="00654395">
      <w:pPr>
        <w:rPr>
          <w:i/>
          <w:color w:val="0070C0"/>
        </w:rPr>
      </w:pPr>
      <w:r w:rsidRPr="00BF7B82">
        <w:rPr>
          <w:i/>
          <w:color w:val="0070C0"/>
        </w:rPr>
        <w:t>Dépenses exclues :</w:t>
      </w:r>
    </w:p>
    <w:p w:rsidR="00654395" w:rsidRPr="00BF7B82" w:rsidRDefault="00654395" w:rsidP="009D6312">
      <w:pPr>
        <w:pStyle w:val="Paragraphedeliste"/>
        <w:numPr>
          <w:ilvl w:val="0"/>
          <w:numId w:val="2"/>
        </w:numPr>
        <w:rPr>
          <w:i/>
          <w:color w:val="0070C0"/>
        </w:rPr>
      </w:pPr>
      <w:r w:rsidRPr="00BF7B82">
        <w:rPr>
          <w:i/>
          <w:color w:val="0070C0"/>
        </w:rPr>
        <w:t>Impôts et taxes</w:t>
      </w:r>
    </w:p>
    <w:p w:rsidR="009D6312" w:rsidRPr="00BF7B82" w:rsidRDefault="00654395" w:rsidP="009D6312">
      <w:pPr>
        <w:pStyle w:val="Paragraphedeliste"/>
        <w:numPr>
          <w:ilvl w:val="0"/>
          <w:numId w:val="2"/>
        </w:numPr>
        <w:rPr>
          <w:i/>
          <w:color w:val="0070C0"/>
        </w:rPr>
      </w:pPr>
      <w:r w:rsidRPr="00BF7B82">
        <w:rPr>
          <w:i/>
          <w:color w:val="0070C0"/>
        </w:rPr>
        <w:t>Cotisations sans TVA</w:t>
      </w:r>
    </w:p>
    <w:p w:rsidR="009D6312" w:rsidRPr="00BF7B82" w:rsidRDefault="00654395" w:rsidP="009D6312">
      <w:pPr>
        <w:pStyle w:val="Paragraphedeliste"/>
        <w:numPr>
          <w:ilvl w:val="0"/>
          <w:numId w:val="2"/>
        </w:numPr>
        <w:rPr>
          <w:i/>
          <w:color w:val="0070C0"/>
        </w:rPr>
      </w:pPr>
      <w:r w:rsidRPr="00BF7B82">
        <w:rPr>
          <w:i/>
          <w:color w:val="0070C0"/>
        </w:rPr>
        <w:t xml:space="preserve">Mécénat </w:t>
      </w:r>
    </w:p>
    <w:p w:rsidR="009D6312" w:rsidRPr="00BF7B82" w:rsidRDefault="00654395" w:rsidP="009D6312">
      <w:pPr>
        <w:pStyle w:val="Paragraphedeliste"/>
        <w:numPr>
          <w:ilvl w:val="0"/>
          <w:numId w:val="2"/>
        </w:numPr>
        <w:rPr>
          <w:i/>
          <w:color w:val="0070C0"/>
        </w:rPr>
      </w:pPr>
      <w:r w:rsidRPr="00BF7B82">
        <w:rPr>
          <w:i/>
          <w:color w:val="0070C0"/>
        </w:rPr>
        <w:t>Notes de frais</w:t>
      </w:r>
    </w:p>
    <w:p w:rsidR="009D6312" w:rsidRPr="00BF7B82" w:rsidRDefault="00654395" w:rsidP="009D6312">
      <w:pPr>
        <w:pStyle w:val="Paragraphedeliste"/>
        <w:numPr>
          <w:ilvl w:val="0"/>
          <w:numId w:val="2"/>
        </w:numPr>
        <w:rPr>
          <w:i/>
          <w:color w:val="0070C0"/>
        </w:rPr>
      </w:pPr>
      <w:r w:rsidRPr="00BF7B82">
        <w:rPr>
          <w:i/>
          <w:color w:val="0070C0"/>
        </w:rPr>
        <w:t>Salaires et charges sociales</w:t>
      </w:r>
    </w:p>
    <w:p w:rsidR="00654395" w:rsidRDefault="00BF7B82" w:rsidP="00554D5C">
      <w:pPr>
        <w:ind w:left="708"/>
        <w:jc w:val="both"/>
        <w:rPr>
          <w:color w:val="0070C0"/>
        </w:rPr>
      </w:pPr>
      <w:r>
        <w:rPr>
          <w:i/>
          <w:color w:val="0070C0"/>
        </w:rPr>
        <w:t xml:space="preserve">NB : </w:t>
      </w:r>
      <w:r w:rsidR="00654395" w:rsidRPr="00BF7B82">
        <w:rPr>
          <w:i/>
          <w:color w:val="0070C0"/>
        </w:rPr>
        <w:t>Exclure les paiements différés pour retenue de garanties qui ne sont pas à considérer comme du retard.</w:t>
      </w:r>
      <w:r w:rsidR="00654395" w:rsidRPr="009D6312">
        <w:rPr>
          <w:color w:val="0070C0"/>
        </w:rPr>
        <w:t xml:space="preserve"> </w:t>
      </w:r>
    </w:p>
    <w:p w:rsidR="0045117B" w:rsidRDefault="0045117B" w:rsidP="00554D5C">
      <w:pPr>
        <w:ind w:left="708"/>
        <w:jc w:val="both"/>
        <w:rPr>
          <w:color w:val="0070C0"/>
        </w:rPr>
      </w:pPr>
    </w:p>
    <w:p w:rsidR="0045117B" w:rsidRDefault="0045117B" w:rsidP="00554D5C">
      <w:pPr>
        <w:ind w:left="708"/>
        <w:jc w:val="both"/>
        <w:rPr>
          <w:color w:val="0070C0"/>
        </w:rPr>
      </w:pPr>
    </w:p>
    <w:p w:rsidR="00BF7B82" w:rsidRPr="0045117B" w:rsidRDefault="00BF7B82" w:rsidP="00BF7B82">
      <w:pPr>
        <w:rPr>
          <w:b/>
          <w:color w:val="0070C0"/>
        </w:rPr>
      </w:pPr>
      <w:r w:rsidRPr="0045117B">
        <w:rPr>
          <w:b/>
          <w:color w:val="0070C0"/>
        </w:rPr>
        <w:t xml:space="preserve">2. </w:t>
      </w:r>
      <w:r w:rsidRPr="0045117B">
        <w:rPr>
          <w:b/>
          <w:color w:val="0070C0"/>
          <w:u w:val="single"/>
        </w:rPr>
        <w:t>Méthode de calcul des délais</w:t>
      </w:r>
      <w:r w:rsidRPr="0045117B">
        <w:rPr>
          <w:b/>
          <w:color w:val="0070C0"/>
        </w:rPr>
        <w:t xml:space="preserve"> : </w:t>
      </w:r>
    </w:p>
    <w:p w:rsidR="00BF7B82" w:rsidRPr="009D6312" w:rsidRDefault="00BF7B82" w:rsidP="006F1CEB">
      <w:pPr>
        <w:jc w:val="both"/>
        <w:rPr>
          <w:color w:val="0070C0"/>
        </w:rPr>
      </w:pPr>
      <w:r w:rsidRPr="009D6312">
        <w:rPr>
          <w:color w:val="0070C0"/>
        </w:rPr>
        <w:t xml:space="preserve"> Selon la loi française, il y a retard dès le lendemain de l'échéance convenue ou, en l'absence de contrat, de l'application du terme de 30 jours à partir de la réception des marchandises ou de la prestation.  </w:t>
      </w:r>
    </w:p>
    <w:p w:rsidR="00BF7B82" w:rsidRPr="009D6312" w:rsidRDefault="00BF7B82" w:rsidP="00BF7B82">
      <w:pPr>
        <w:ind w:firstLine="708"/>
        <w:rPr>
          <w:color w:val="0070C0"/>
        </w:rPr>
      </w:pPr>
      <w:r w:rsidRPr="00BF7B82">
        <w:rPr>
          <w:color w:val="0070C0"/>
          <w:u w:val="single"/>
        </w:rPr>
        <w:t>Méthode A</w:t>
      </w:r>
      <w:r w:rsidRPr="009D6312">
        <w:rPr>
          <w:color w:val="0070C0"/>
        </w:rPr>
        <w:t xml:space="preserve"> :</w:t>
      </w:r>
    </w:p>
    <w:p w:rsidR="00BF7B82" w:rsidRPr="009D6312" w:rsidRDefault="00BF7B82" w:rsidP="006F1CEB">
      <w:pPr>
        <w:ind w:left="708"/>
        <w:jc w:val="both"/>
        <w:rPr>
          <w:color w:val="0070C0"/>
        </w:rPr>
      </w:pPr>
      <w:r w:rsidRPr="009D6312">
        <w:rPr>
          <w:color w:val="0070C0"/>
        </w:rPr>
        <w:t xml:space="preserve">Le retard </w:t>
      </w:r>
      <w:r>
        <w:rPr>
          <w:color w:val="0070C0"/>
        </w:rPr>
        <w:t xml:space="preserve">est </w:t>
      </w:r>
      <w:r w:rsidRPr="009D6312">
        <w:rPr>
          <w:color w:val="0070C0"/>
        </w:rPr>
        <w:t xml:space="preserve">calculé suivant la formule  A = [date de paiement - date d'échéance]. </w:t>
      </w:r>
    </w:p>
    <w:p w:rsidR="00BF7B82" w:rsidRPr="0045117B" w:rsidRDefault="00BF7B82" w:rsidP="006F1CEB">
      <w:pPr>
        <w:ind w:left="708"/>
        <w:jc w:val="both"/>
        <w:rPr>
          <w:b/>
          <w:color w:val="0070C0"/>
        </w:rPr>
      </w:pPr>
      <w:r w:rsidRPr="0045117B">
        <w:rPr>
          <w:b/>
          <w:color w:val="0070C0"/>
        </w:rPr>
        <w:t>Cet indicateur a la préférence du labellisateur qui s'attache au respect des engagements contractuels et de la qualité des relations entre clients et fournisseurs.</w:t>
      </w:r>
    </w:p>
    <w:p w:rsidR="00BF7B82" w:rsidRPr="0045117B" w:rsidRDefault="00BF7B82" w:rsidP="00BF7B82">
      <w:pPr>
        <w:ind w:firstLine="708"/>
        <w:rPr>
          <w:color w:val="0070C0"/>
        </w:rPr>
      </w:pPr>
      <w:r w:rsidRPr="009D6312">
        <w:rPr>
          <w:color w:val="0070C0"/>
        </w:rPr>
        <w:t xml:space="preserve"> </w:t>
      </w:r>
      <w:r w:rsidRPr="0045117B">
        <w:rPr>
          <w:color w:val="0070C0"/>
          <w:u w:val="single"/>
        </w:rPr>
        <w:t>Méthode B</w:t>
      </w:r>
      <w:r w:rsidRPr="0045117B">
        <w:rPr>
          <w:color w:val="0070C0"/>
        </w:rPr>
        <w:t xml:space="preserve"> : </w:t>
      </w:r>
    </w:p>
    <w:p w:rsidR="00BF7B82" w:rsidRPr="0045117B" w:rsidRDefault="00BF7B82" w:rsidP="006F1CEB">
      <w:pPr>
        <w:ind w:left="708"/>
        <w:jc w:val="both"/>
        <w:rPr>
          <w:color w:val="0070C0"/>
        </w:rPr>
      </w:pPr>
      <w:r w:rsidRPr="0045117B">
        <w:rPr>
          <w:color w:val="0070C0"/>
        </w:rPr>
        <w:t>Cependant il pourra être admis par défaut que le retard soit calculé suivant la formule  [date de paiement - (date d'émission</w:t>
      </w:r>
      <w:r w:rsidRPr="0045117B">
        <w:rPr>
          <w:color w:val="0070C0"/>
          <w:vertAlign w:val="superscript"/>
        </w:rPr>
        <w:t>(a)</w:t>
      </w:r>
      <w:r w:rsidRPr="0045117B">
        <w:rPr>
          <w:color w:val="0070C0"/>
        </w:rPr>
        <w:t xml:space="preserve"> + 60jours</w:t>
      </w:r>
      <w:r w:rsidRPr="0045117B">
        <w:rPr>
          <w:color w:val="0070C0"/>
          <w:vertAlign w:val="superscript"/>
        </w:rPr>
        <w:t>(b)</w:t>
      </w:r>
      <w:r w:rsidRPr="0045117B">
        <w:rPr>
          <w:color w:val="0070C0"/>
        </w:rPr>
        <w:t xml:space="preserve">)]. </w:t>
      </w:r>
    </w:p>
    <w:p w:rsidR="00BF7B82" w:rsidRPr="0045117B" w:rsidRDefault="00BF7B82" w:rsidP="006F1CEB">
      <w:pPr>
        <w:ind w:left="708"/>
        <w:jc w:val="both"/>
        <w:rPr>
          <w:strike/>
          <w:color w:val="0070C0"/>
        </w:rPr>
      </w:pPr>
      <w:r w:rsidRPr="0045117B">
        <w:rPr>
          <w:color w:val="0070C0"/>
        </w:rPr>
        <w:t>Il s'agit là d'une méthode permettant de s'assurer du respect des délais légaux plafonds</w:t>
      </w:r>
      <w:r w:rsidR="00B757C8" w:rsidRPr="0045117B">
        <w:rPr>
          <w:strike/>
          <w:color w:val="00B050"/>
        </w:rPr>
        <w:t xml:space="preserve">. </w:t>
      </w:r>
    </w:p>
    <w:p w:rsidR="00BF7B82" w:rsidRPr="0045117B" w:rsidRDefault="00BF7B82" w:rsidP="006F1CEB">
      <w:pPr>
        <w:ind w:left="708"/>
        <w:jc w:val="both"/>
        <w:rPr>
          <w:color w:val="0070C0"/>
          <w:sz w:val="18"/>
        </w:rPr>
      </w:pPr>
      <w:r w:rsidRPr="0045117B">
        <w:rPr>
          <w:color w:val="0070C0"/>
          <w:sz w:val="18"/>
        </w:rPr>
        <w:t xml:space="preserve">(a) il est entendu que pour les marchés publics, la date de réception de la facture se substitue à la date d'émission. </w:t>
      </w:r>
    </w:p>
    <w:p w:rsidR="00116E0F" w:rsidRPr="00B757C8" w:rsidRDefault="00B757C8" w:rsidP="00116E0F">
      <w:pPr>
        <w:ind w:left="708"/>
        <w:jc w:val="both"/>
        <w:rPr>
          <w:color w:val="0070C0"/>
          <w:sz w:val="18"/>
        </w:rPr>
      </w:pPr>
      <w:r w:rsidRPr="0045117B">
        <w:rPr>
          <w:color w:val="0070C0"/>
          <w:sz w:val="18"/>
        </w:rPr>
        <w:t xml:space="preserve"> </w:t>
      </w:r>
      <w:r w:rsidR="00116E0F" w:rsidRPr="0045117B">
        <w:rPr>
          <w:color w:val="0070C0"/>
          <w:sz w:val="18"/>
        </w:rPr>
        <w:t>(b) pour les acheteurs publics : substituer 60 jours par 30 jours, la formule devient : [date de paiement – (date de réception + 30 jours)] ; sauf par exception : pour les services de santé : + 50 jours et  pour la SNCF : + 60 jours.</w:t>
      </w:r>
      <w:r w:rsidR="00116E0F" w:rsidRPr="00B757C8">
        <w:rPr>
          <w:color w:val="0070C0"/>
          <w:sz w:val="18"/>
        </w:rPr>
        <w:t xml:space="preserve"> </w:t>
      </w:r>
    </w:p>
    <w:p w:rsidR="00116E0F" w:rsidRDefault="00116E0F" w:rsidP="006F1CEB">
      <w:pPr>
        <w:ind w:left="708"/>
        <w:jc w:val="both"/>
        <w:rPr>
          <w:color w:val="0070C0"/>
          <w:sz w:val="18"/>
        </w:rPr>
      </w:pPr>
    </w:p>
    <w:p w:rsidR="0045117B" w:rsidRPr="00BF7B82" w:rsidRDefault="0045117B" w:rsidP="006F1CEB">
      <w:pPr>
        <w:ind w:left="708"/>
        <w:jc w:val="both"/>
        <w:rPr>
          <w:color w:val="0070C0"/>
          <w:sz w:val="18"/>
        </w:rPr>
      </w:pPr>
    </w:p>
    <w:p w:rsidR="00BF7B82" w:rsidRPr="0045117B" w:rsidRDefault="00BF7B82" w:rsidP="00BF7B82">
      <w:pPr>
        <w:rPr>
          <w:b/>
          <w:color w:val="0070C0"/>
          <w:u w:val="single"/>
        </w:rPr>
      </w:pPr>
      <w:r w:rsidRPr="0045117B">
        <w:rPr>
          <w:b/>
          <w:color w:val="0070C0"/>
          <w:u w:val="single"/>
        </w:rPr>
        <w:t>3 / Indicateurs à fournir à l'évaluateur</w:t>
      </w:r>
    </w:p>
    <w:p w:rsidR="00BF7B82" w:rsidRDefault="00654395" w:rsidP="006F1CEB">
      <w:pPr>
        <w:pStyle w:val="Paragraphedeliste"/>
        <w:numPr>
          <w:ilvl w:val="0"/>
          <w:numId w:val="5"/>
        </w:numPr>
        <w:jc w:val="both"/>
        <w:rPr>
          <w:color w:val="0070C0"/>
        </w:rPr>
      </w:pPr>
      <w:r w:rsidRPr="006F1CEB">
        <w:rPr>
          <w:color w:val="0070C0"/>
        </w:rPr>
        <w:t>Le candidat au label/labellisé précise la méthodologie appliquée dans son entité, en regard de la méthodologie repère définie par le labellisateur</w:t>
      </w:r>
      <w:r w:rsidR="00BF7B82" w:rsidRPr="006F1CEB">
        <w:rPr>
          <w:color w:val="0070C0"/>
        </w:rPr>
        <w:t>.</w:t>
      </w:r>
      <w:r w:rsidRPr="006F1CEB">
        <w:rPr>
          <w:color w:val="0070C0"/>
        </w:rPr>
        <w:t xml:space="preserve"> </w:t>
      </w:r>
    </w:p>
    <w:p w:rsidR="006F1CEB" w:rsidRPr="006F1CEB" w:rsidRDefault="006F1CEB" w:rsidP="006F1CEB">
      <w:pPr>
        <w:pStyle w:val="Paragraphedeliste"/>
        <w:jc w:val="both"/>
        <w:rPr>
          <w:color w:val="0070C0"/>
        </w:rPr>
      </w:pPr>
    </w:p>
    <w:p w:rsidR="00654395" w:rsidRDefault="00654395" w:rsidP="006F1CEB">
      <w:pPr>
        <w:pStyle w:val="Paragraphedeliste"/>
        <w:numPr>
          <w:ilvl w:val="0"/>
          <w:numId w:val="5"/>
        </w:numPr>
        <w:jc w:val="both"/>
        <w:rPr>
          <w:color w:val="0070C0"/>
        </w:rPr>
      </w:pPr>
      <w:r w:rsidRPr="006F1CEB">
        <w:rPr>
          <w:color w:val="0070C0"/>
        </w:rPr>
        <w:t xml:space="preserve">Le candidat </w:t>
      </w:r>
      <w:r w:rsidR="00E80C76" w:rsidRPr="006F1CEB">
        <w:rPr>
          <w:color w:val="0070C0"/>
        </w:rPr>
        <w:t xml:space="preserve">au label/labellisé </w:t>
      </w:r>
      <w:r w:rsidRPr="006F1CEB">
        <w:rPr>
          <w:color w:val="0070C0"/>
        </w:rPr>
        <w:t xml:space="preserve">devra préciser si le périmètre des données considérées correspond à cette définition ou préciser en quoi il diffère en complétant le tableau </w:t>
      </w:r>
      <w:r w:rsidR="00BF7B82" w:rsidRPr="006F1CEB">
        <w:rPr>
          <w:color w:val="0070C0"/>
        </w:rPr>
        <w:t xml:space="preserve">en annexe. </w:t>
      </w:r>
      <w:r w:rsidR="00BF7B82" w:rsidRPr="006F1CEB">
        <w:rPr>
          <w:color w:val="0070C0"/>
        </w:rPr>
        <w:lastRenderedPageBreak/>
        <w:t>L'évaluateur le reportera tel quel dans son rapport au critère 3.1 " Piloter efficacement ",  au principe d'action " Mesurer pour améliorer " et le commentera afin d’informer</w:t>
      </w:r>
      <w:r w:rsidR="00116E0F">
        <w:rPr>
          <w:color w:val="0070C0"/>
        </w:rPr>
        <w:t xml:space="preserve"> </w:t>
      </w:r>
      <w:r w:rsidR="00116E0F" w:rsidRPr="00B757C8">
        <w:rPr>
          <w:color w:val="0070C0"/>
        </w:rPr>
        <w:t>le candidat au la</w:t>
      </w:r>
      <w:r w:rsidR="00B757C8" w:rsidRPr="00B757C8">
        <w:rPr>
          <w:color w:val="0070C0"/>
        </w:rPr>
        <w:t>b</w:t>
      </w:r>
      <w:r w:rsidR="00116E0F" w:rsidRPr="00B757C8">
        <w:rPr>
          <w:color w:val="0070C0"/>
        </w:rPr>
        <w:t>el/labellisé et le comité d’attribution du label de ses observations et appréciations, comme pour l’ensemble</w:t>
      </w:r>
      <w:r w:rsidR="00B757C8" w:rsidRPr="00B757C8">
        <w:rPr>
          <w:color w:val="0070C0"/>
        </w:rPr>
        <w:t xml:space="preserve"> des autres critères du label.</w:t>
      </w:r>
      <w:r w:rsidR="00B757C8">
        <w:rPr>
          <w:color w:val="00B050"/>
          <w:lang w:eastAsia="fr-FR"/>
        </w:rPr>
        <w:t> </w:t>
      </w:r>
    </w:p>
    <w:p w:rsidR="006F1CEB" w:rsidRPr="006F1CEB" w:rsidRDefault="006F1CEB" w:rsidP="006F1CEB">
      <w:pPr>
        <w:pStyle w:val="Paragraphedeliste"/>
        <w:rPr>
          <w:color w:val="0070C0"/>
        </w:rPr>
      </w:pPr>
    </w:p>
    <w:p w:rsidR="006F1CEB" w:rsidRPr="006F1CEB" w:rsidRDefault="006F1CEB" w:rsidP="006F1CEB">
      <w:pPr>
        <w:pStyle w:val="Paragraphedeliste"/>
        <w:numPr>
          <w:ilvl w:val="0"/>
          <w:numId w:val="5"/>
        </w:numPr>
        <w:jc w:val="both"/>
        <w:rPr>
          <w:color w:val="0070C0"/>
        </w:rPr>
      </w:pPr>
      <w:r>
        <w:rPr>
          <w:color w:val="0070C0"/>
        </w:rPr>
        <w:t>Indicateurs attendus s</w:t>
      </w:r>
      <w:r w:rsidRPr="006F1CEB">
        <w:rPr>
          <w:color w:val="0070C0"/>
        </w:rPr>
        <w:t>ystématiquement</w:t>
      </w:r>
      <w:r>
        <w:rPr>
          <w:color w:val="0070C0"/>
        </w:rPr>
        <w:t xml:space="preserve"> par le </w:t>
      </w:r>
      <w:r w:rsidRPr="006F1CEB">
        <w:rPr>
          <w:color w:val="0070C0"/>
        </w:rPr>
        <w:t>labellisateur lors de toutes les évaluations (initiales, mises sous revue annuelles ou renouvellement) :</w:t>
      </w:r>
    </w:p>
    <w:p w:rsidR="006F1CEB" w:rsidRPr="0045117B" w:rsidRDefault="006F1CEB" w:rsidP="006F1CEB">
      <w:pPr>
        <w:pStyle w:val="Paragraphedeliste"/>
        <w:numPr>
          <w:ilvl w:val="0"/>
          <w:numId w:val="6"/>
        </w:numPr>
        <w:rPr>
          <w:color w:val="0070C0"/>
        </w:rPr>
      </w:pPr>
      <w:r w:rsidRPr="0045117B">
        <w:rPr>
          <w:color w:val="0070C0"/>
        </w:rPr>
        <w:t xml:space="preserve">Factures payées en retard : % en quantité </w:t>
      </w:r>
      <w:r w:rsidR="0045117B" w:rsidRPr="0045117B">
        <w:rPr>
          <w:color w:val="0070C0"/>
        </w:rPr>
        <w:t xml:space="preserve"> et % en montants </w:t>
      </w:r>
    </w:p>
    <w:p w:rsidR="006F1CEB" w:rsidRDefault="006F1CEB" w:rsidP="006F1CEB">
      <w:pPr>
        <w:pStyle w:val="Paragraphedeliste"/>
        <w:numPr>
          <w:ilvl w:val="0"/>
          <w:numId w:val="6"/>
        </w:numPr>
        <w:rPr>
          <w:color w:val="0070C0"/>
        </w:rPr>
      </w:pPr>
      <w:r w:rsidRPr="006F1CEB">
        <w:rPr>
          <w:color w:val="0070C0"/>
        </w:rPr>
        <w:t>Factures payées à l'avance ou à l'heure : % en quantité</w:t>
      </w:r>
      <w:r w:rsidR="0045117B">
        <w:rPr>
          <w:color w:val="0070C0"/>
        </w:rPr>
        <w:t xml:space="preserve"> et % en montants </w:t>
      </w:r>
    </w:p>
    <w:p w:rsidR="0045117B" w:rsidRDefault="006F1CEB" w:rsidP="006F1CEB">
      <w:pPr>
        <w:pStyle w:val="Paragraphedeliste"/>
        <w:numPr>
          <w:ilvl w:val="0"/>
          <w:numId w:val="6"/>
        </w:numPr>
        <w:rPr>
          <w:color w:val="0070C0"/>
        </w:rPr>
      </w:pPr>
      <w:r w:rsidRPr="006F1CEB">
        <w:rPr>
          <w:color w:val="0070C0"/>
        </w:rPr>
        <w:t>Délai de paiement moyen (jours calendaires) = moyenne (non pon</w:t>
      </w:r>
      <w:r w:rsidR="0045117B">
        <w:rPr>
          <w:color w:val="0070C0"/>
        </w:rPr>
        <w:t>dérée par les montants) obtenue, en précisant :</w:t>
      </w:r>
    </w:p>
    <w:p w:rsidR="0045117B" w:rsidRDefault="006F1CEB" w:rsidP="0045117B">
      <w:pPr>
        <w:pStyle w:val="Paragraphedeliste"/>
        <w:numPr>
          <w:ilvl w:val="1"/>
          <w:numId w:val="6"/>
        </w:numPr>
        <w:rPr>
          <w:color w:val="0070C0"/>
        </w:rPr>
      </w:pPr>
      <w:r w:rsidRPr="006F1CEB">
        <w:rPr>
          <w:color w:val="0070C0"/>
        </w:rPr>
        <w:t xml:space="preserve">selon méthode </w:t>
      </w:r>
      <w:r w:rsidR="0045117B">
        <w:rPr>
          <w:color w:val="0070C0"/>
        </w:rPr>
        <w:t xml:space="preserve">repère à privilégier </w:t>
      </w:r>
      <w:r w:rsidRPr="006F1CEB">
        <w:rPr>
          <w:color w:val="0070C0"/>
        </w:rPr>
        <w:t xml:space="preserve">A </w:t>
      </w:r>
    </w:p>
    <w:p w:rsidR="006F1CEB" w:rsidRPr="006F1CEB" w:rsidRDefault="006F1CEB" w:rsidP="0045117B">
      <w:pPr>
        <w:pStyle w:val="Paragraphedeliste"/>
        <w:numPr>
          <w:ilvl w:val="1"/>
          <w:numId w:val="6"/>
        </w:numPr>
        <w:rPr>
          <w:color w:val="0070C0"/>
        </w:rPr>
      </w:pPr>
      <w:r w:rsidRPr="006F1CEB">
        <w:rPr>
          <w:color w:val="0070C0"/>
        </w:rPr>
        <w:t xml:space="preserve">ou méthode </w:t>
      </w:r>
      <w:r w:rsidR="0045117B">
        <w:rPr>
          <w:color w:val="0070C0"/>
        </w:rPr>
        <w:t xml:space="preserve">par défaut </w:t>
      </w:r>
      <w:r w:rsidRPr="006F1CEB">
        <w:rPr>
          <w:color w:val="0070C0"/>
        </w:rPr>
        <w:t>B</w:t>
      </w:r>
    </w:p>
    <w:p w:rsidR="006F1CEB" w:rsidRDefault="0045117B" w:rsidP="00940526">
      <w:pPr>
        <w:pStyle w:val="Paragraphedeliste"/>
        <w:jc w:val="both"/>
        <w:rPr>
          <w:color w:val="0070C0"/>
        </w:rPr>
      </w:pPr>
      <w:r>
        <w:rPr>
          <w:color w:val="0070C0"/>
        </w:rPr>
        <w:t>NB :</w:t>
      </w:r>
      <w:r w:rsidR="00940526">
        <w:rPr>
          <w:color w:val="0070C0"/>
        </w:rPr>
        <w:t xml:space="preserve"> les chiffres sont établis s</w:t>
      </w:r>
      <w:r w:rsidR="006F1CEB" w:rsidRPr="006F1CEB">
        <w:rPr>
          <w:color w:val="0070C0"/>
        </w:rPr>
        <w:t>ur la base de toutes les factures et avoi</w:t>
      </w:r>
      <w:r>
        <w:rPr>
          <w:color w:val="0070C0"/>
        </w:rPr>
        <w:t xml:space="preserve">rs  reçus dans l'année écoulée  sur les </w:t>
      </w:r>
      <w:r w:rsidR="006F1CEB" w:rsidRPr="006F1CEB">
        <w:rPr>
          <w:color w:val="0070C0"/>
        </w:rPr>
        <w:t>12 derniers mois glissants de préfér</w:t>
      </w:r>
      <w:r>
        <w:rPr>
          <w:color w:val="0070C0"/>
        </w:rPr>
        <w:t>ence (si non sur l’année civile précédente)</w:t>
      </w:r>
      <w:r w:rsidR="006F1CEB" w:rsidRPr="006F1CEB">
        <w:rPr>
          <w:color w:val="0070C0"/>
        </w:rPr>
        <w:t xml:space="preserve"> pour toutes les factures, y compris celles qui sont litigieuses. </w:t>
      </w:r>
    </w:p>
    <w:p w:rsidR="00940526" w:rsidRPr="006F1CEB" w:rsidRDefault="00940526" w:rsidP="00940526">
      <w:pPr>
        <w:pStyle w:val="Paragraphedeliste"/>
        <w:jc w:val="both"/>
        <w:rPr>
          <w:color w:val="0070C0"/>
        </w:rPr>
      </w:pPr>
    </w:p>
    <w:p w:rsidR="00940526" w:rsidRDefault="002D2927" w:rsidP="002D2927">
      <w:pPr>
        <w:pStyle w:val="Paragraphedeliste"/>
        <w:numPr>
          <w:ilvl w:val="0"/>
          <w:numId w:val="5"/>
        </w:numPr>
        <w:jc w:val="both"/>
        <w:rPr>
          <w:color w:val="0070C0"/>
        </w:rPr>
      </w:pPr>
      <w:r>
        <w:rPr>
          <w:color w:val="0070C0"/>
        </w:rPr>
        <w:t>A</w:t>
      </w:r>
      <w:r w:rsidRPr="00940526">
        <w:rPr>
          <w:color w:val="0070C0"/>
        </w:rPr>
        <w:t xml:space="preserve">nalyses qualitatives </w:t>
      </w:r>
      <w:r w:rsidR="00940526">
        <w:rPr>
          <w:color w:val="0070C0"/>
        </w:rPr>
        <w:t>attendu</w:t>
      </w:r>
      <w:r>
        <w:rPr>
          <w:color w:val="0070C0"/>
        </w:rPr>
        <w:t>e</w:t>
      </w:r>
      <w:r w:rsidR="00940526">
        <w:rPr>
          <w:color w:val="0070C0"/>
        </w:rPr>
        <w:t>s</w:t>
      </w:r>
      <w:r w:rsidR="006F1CEB" w:rsidRPr="006F1CEB">
        <w:rPr>
          <w:color w:val="0070C0"/>
        </w:rPr>
        <w:t xml:space="preserve"> </w:t>
      </w:r>
      <w:r w:rsidR="00940526">
        <w:rPr>
          <w:color w:val="0070C0"/>
        </w:rPr>
        <w:t>u</w:t>
      </w:r>
      <w:r w:rsidR="006F1CEB" w:rsidRPr="00940526">
        <w:rPr>
          <w:color w:val="0070C0"/>
        </w:rPr>
        <w:t>niquement au moment de l'évaluation</w:t>
      </w:r>
      <w:r w:rsidR="00940526">
        <w:rPr>
          <w:color w:val="0070C0"/>
        </w:rPr>
        <w:t xml:space="preserve"> initiale ou de renouvellement </w:t>
      </w:r>
    </w:p>
    <w:p w:rsidR="002D2927" w:rsidRDefault="002D2927" w:rsidP="002D2927">
      <w:pPr>
        <w:pStyle w:val="Paragraphedeliste"/>
        <w:numPr>
          <w:ilvl w:val="0"/>
          <w:numId w:val="6"/>
        </w:numPr>
        <w:rPr>
          <w:color w:val="0070C0"/>
        </w:rPr>
      </w:pPr>
      <w:r>
        <w:rPr>
          <w:color w:val="0070C0"/>
        </w:rPr>
        <w:t>l</w:t>
      </w:r>
      <w:r w:rsidR="006F1CEB" w:rsidRPr="006F1CEB">
        <w:rPr>
          <w:color w:val="0070C0"/>
        </w:rPr>
        <w:t>a répartit</w:t>
      </w:r>
      <w:r>
        <w:rPr>
          <w:color w:val="0070C0"/>
        </w:rPr>
        <w:t xml:space="preserve">ion des causes de retard entre : </w:t>
      </w:r>
    </w:p>
    <w:p w:rsidR="006F1CEB" w:rsidRDefault="002D2927" w:rsidP="002D2927">
      <w:pPr>
        <w:pStyle w:val="Paragraphedeliste"/>
        <w:numPr>
          <w:ilvl w:val="1"/>
          <w:numId w:val="6"/>
        </w:numPr>
        <w:rPr>
          <w:color w:val="0070C0"/>
        </w:rPr>
      </w:pPr>
      <w:r w:rsidRPr="006F1CEB">
        <w:rPr>
          <w:color w:val="0070C0"/>
        </w:rPr>
        <w:t>Délai d'acheminement des factures par les fournisseurs</w:t>
      </w:r>
    </w:p>
    <w:p w:rsidR="002D2927" w:rsidRDefault="002D2927" w:rsidP="002D2927">
      <w:pPr>
        <w:pStyle w:val="Paragraphedeliste"/>
        <w:numPr>
          <w:ilvl w:val="1"/>
          <w:numId w:val="6"/>
        </w:numPr>
        <w:jc w:val="both"/>
        <w:rPr>
          <w:color w:val="0070C0"/>
        </w:rPr>
      </w:pPr>
      <w:r w:rsidRPr="006F1CEB">
        <w:rPr>
          <w:color w:val="0070C0"/>
        </w:rPr>
        <w:t>Processus internes (saisie tardive des réceptions, paramétrage des systèmes, nombre de campagnes de paiement…)</w:t>
      </w:r>
    </w:p>
    <w:p w:rsidR="00B757C8" w:rsidRDefault="002D2927" w:rsidP="00B757C8">
      <w:pPr>
        <w:pStyle w:val="Paragraphedeliste"/>
        <w:numPr>
          <w:ilvl w:val="1"/>
          <w:numId w:val="6"/>
        </w:numPr>
        <w:rPr>
          <w:color w:val="0070C0"/>
        </w:rPr>
      </w:pPr>
      <w:r w:rsidRPr="006F1CEB">
        <w:rPr>
          <w:color w:val="0070C0"/>
        </w:rPr>
        <w:t>Factures litigieuses et irrégulières</w:t>
      </w:r>
    </w:p>
    <w:p w:rsidR="00D108B9" w:rsidRPr="00B757C8" w:rsidRDefault="00D108B9" w:rsidP="00B757C8">
      <w:pPr>
        <w:pStyle w:val="Paragraphedeliste"/>
        <w:numPr>
          <w:ilvl w:val="1"/>
          <w:numId w:val="6"/>
        </w:numPr>
        <w:rPr>
          <w:color w:val="0070C0"/>
        </w:rPr>
      </w:pPr>
      <w:r w:rsidRPr="00B757C8">
        <w:rPr>
          <w:color w:val="0070C0"/>
        </w:rPr>
        <w:t xml:space="preserve">Autres causes de retard – à documenter </w:t>
      </w:r>
      <w:r w:rsidR="00B757C8" w:rsidRPr="00B757C8">
        <w:rPr>
          <w:color w:val="0070C0"/>
        </w:rPr>
        <w:t xml:space="preserve"> (l’objectif est d’</w:t>
      </w:r>
      <w:r w:rsidRPr="00B757C8">
        <w:rPr>
          <w:color w:val="0070C0"/>
        </w:rPr>
        <w:t xml:space="preserve">avoir </w:t>
      </w:r>
      <w:r w:rsidR="00B757C8" w:rsidRPr="00B757C8">
        <w:rPr>
          <w:color w:val="0070C0"/>
        </w:rPr>
        <w:t>la vue sur 100% des retards)</w:t>
      </w:r>
    </w:p>
    <w:p w:rsidR="006F1CEB" w:rsidRPr="006F1CEB" w:rsidRDefault="002D2927" w:rsidP="002D2927">
      <w:pPr>
        <w:pStyle w:val="Paragraphedeliste"/>
        <w:numPr>
          <w:ilvl w:val="0"/>
          <w:numId w:val="6"/>
        </w:numPr>
        <w:rPr>
          <w:color w:val="0070C0"/>
        </w:rPr>
      </w:pPr>
      <w:r>
        <w:rPr>
          <w:color w:val="0070C0"/>
        </w:rPr>
        <w:t xml:space="preserve">un focus </w:t>
      </w:r>
      <w:r w:rsidR="006F1CEB" w:rsidRPr="006F1CEB">
        <w:rPr>
          <w:color w:val="0070C0"/>
        </w:rPr>
        <w:t>sur la répartition des litiges entre :</w:t>
      </w:r>
    </w:p>
    <w:p w:rsidR="006F1CEB" w:rsidRPr="006F1CEB" w:rsidRDefault="006F1CEB" w:rsidP="002D2927">
      <w:pPr>
        <w:pStyle w:val="Paragraphedeliste"/>
        <w:numPr>
          <w:ilvl w:val="1"/>
          <w:numId w:val="6"/>
        </w:numPr>
        <w:jc w:val="both"/>
        <w:rPr>
          <w:color w:val="0070C0"/>
        </w:rPr>
      </w:pPr>
      <w:r w:rsidRPr="006F1CEB">
        <w:rPr>
          <w:color w:val="0070C0"/>
        </w:rPr>
        <w:t xml:space="preserve">facture litigieuse = contestation de l'objet, du montant ou de la qualité de la prestation </w:t>
      </w:r>
    </w:p>
    <w:p w:rsidR="006F1CEB" w:rsidRPr="006F1CEB" w:rsidRDefault="006F1CEB" w:rsidP="002D2927">
      <w:pPr>
        <w:pStyle w:val="Paragraphedeliste"/>
        <w:numPr>
          <w:ilvl w:val="1"/>
          <w:numId w:val="6"/>
        </w:numPr>
        <w:rPr>
          <w:color w:val="0070C0"/>
        </w:rPr>
      </w:pPr>
      <w:r w:rsidRPr="006F1CEB">
        <w:rPr>
          <w:color w:val="0070C0"/>
        </w:rPr>
        <w:t xml:space="preserve">factures irrégulières = indications incomplètes ou erronées </w:t>
      </w:r>
    </w:p>
    <w:p w:rsidR="006F1CEB" w:rsidRDefault="006F1CEB" w:rsidP="002D2927">
      <w:pPr>
        <w:pStyle w:val="Paragraphedeliste"/>
        <w:numPr>
          <w:ilvl w:val="1"/>
          <w:numId w:val="6"/>
        </w:numPr>
        <w:rPr>
          <w:color w:val="0070C0"/>
        </w:rPr>
      </w:pPr>
      <w:r w:rsidRPr="006F1CEB">
        <w:rPr>
          <w:color w:val="0070C0"/>
        </w:rPr>
        <w:t>autres motifs de rejets</w:t>
      </w:r>
    </w:p>
    <w:p w:rsidR="002D2927" w:rsidRDefault="002D2927" w:rsidP="002D2927">
      <w:pPr>
        <w:pStyle w:val="Paragraphedeliste"/>
        <w:ind w:left="2160"/>
        <w:rPr>
          <w:color w:val="0070C0"/>
        </w:rPr>
      </w:pPr>
    </w:p>
    <w:p w:rsidR="002D2927" w:rsidRDefault="002D2927" w:rsidP="002D2927">
      <w:pPr>
        <w:pStyle w:val="Paragraphedeliste"/>
        <w:numPr>
          <w:ilvl w:val="0"/>
          <w:numId w:val="5"/>
        </w:numPr>
        <w:jc w:val="both"/>
        <w:rPr>
          <w:color w:val="0070C0"/>
        </w:rPr>
      </w:pPr>
      <w:r w:rsidRPr="002D2927">
        <w:rPr>
          <w:color w:val="0070C0"/>
        </w:rPr>
        <w:t xml:space="preserve">Analyses qualitatives </w:t>
      </w:r>
      <w:r>
        <w:rPr>
          <w:color w:val="0070C0"/>
        </w:rPr>
        <w:t xml:space="preserve">supplémentaires </w:t>
      </w:r>
      <w:r w:rsidR="00D108B9">
        <w:rPr>
          <w:color w:val="0070C0"/>
        </w:rPr>
        <w:t xml:space="preserve">recommandées </w:t>
      </w:r>
      <w:r w:rsidRPr="002D2927">
        <w:rPr>
          <w:color w:val="0070C0"/>
        </w:rPr>
        <w:t>au moment de l'évaluation initiale ou d</w:t>
      </w:r>
      <w:r>
        <w:rPr>
          <w:color w:val="0070C0"/>
        </w:rPr>
        <w:t xml:space="preserve">u renouvellement : </w:t>
      </w:r>
    </w:p>
    <w:p w:rsidR="002D2927" w:rsidRPr="002D2927" w:rsidRDefault="002D2927" w:rsidP="002D2927">
      <w:pPr>
        <w:pStyle w:val="Paragraphedeliste"/>
        <w:numPr>
          <w:ilvl w:val="0"/>
          <w:numId w:val="6"/>
        </w:numPr>
        <w:rPr>
          <w:color w:val="0070C0"/>
        </w:rPr>
      </w:pPr>
      <w:r w:rsidRPr="002D2927">
        <w:rPr>
          <w:color w:val="0070C0"/>
        </w:rPr>
        <w:t xml:space="preserve"> </w:t>
      </w:r>
      <w:r w:rsidR="00933691">
        <w:rPr>
          <w:color w:val="0070C0"/>
        </w:rPr>
        <w:t>Pour les EA/ESAT :</w:t>
      </w:r>
    </w:p>
    <w:p w:rsidR="002D2927" w:rsidRPr="006F1CEB" w:rsidRDefault="002D2927" w:rsidP="002D2927">
      <w:pPr>
        <w:pStyle w:val="Paragraphedeliste"/>
        <w:numPr>
          <w:ilvl w:val="1"/>
          <w:numId w:val="6"/>
        </w:numPr>
        <w:rPr>
          <w:color w:val="0070C0"/>
        </w:rPr>
      </w:pPr>
      <w:r w:rsidRPr="006F1CEB">
        <w:rPr>
          <w:color w:val="0070C0"/>
        </w:rPr>
        <w:t xml:space="preserve">Factures payées en retard : % en quantité </w:t>
      </w:r>
    </w:p>
    <w:p w:rsidR="002D2927" w:rsidRPr="006F1CEB" w:rsidRDefault="002D2927" w:rsidP="002D2927">
      <w:pPr>
        <w:pStyle w:val="Paragraphedeliste"/>
        <w:numPr>
          <w:ilvl w:val="1"/>
          <w:numId w:val="6"/>
        </w:numPr>
        <w:rPr>
          <w:color w:val="0070C0"/>
        </w:rPr>
      </w:pPr>
      <w:r w:rsidRPr="006F1CEB">
        <w:rPr>
          <w:color w:val="0070C0"/>
        </w:rPr>
        <w:t xml:space="preserve">Factures payées à l'avance ou à l'heure : % en quantité </w:t>
      </w:r>
    </w:p>
    <w:p w:rsidR="002D2927" w:rsidRPr="006F1CEB" w:rsidRDefault="002D2927" w:rsidP="002D2927">
      <w:pPr>
        <w:pStyle w:val="Paragraphedeliste"/>
        <w:numPr>
          <w:ilvl w:val="1"/>
          <w:numId w:val="6"/>
        </w:numPr>
        <w:rPr>
          <w:color w:val="0070C0"/>
        </w:rPr>
      </w:pPr>
      <w:r w:rsidRPr="006F1CEB">
        <w:rPr>
          <w:color w:val="0070C0"/>
        </w:rPr>
        <w:t xml:space="preserve">Délai de paiement moyen (jours calendaires) = moyenne </w:t>
      </w:r>
      <w:r>
        <w:rPr>
          <w:color w:val="0070C0"/>
        </w:rPr>
        <w:t>(non pondérée par les montants)</w:t>
      </w:r>
    </w:p>
    <w:p w:rsidR="002D2927" w:rsidRDefault="002D2927" w:rsidP="002D2927">
      <w:pPr>
        <w:pStyle w:val="Paragraphedeliste"/>
        <w:numPr>
          <w:ilvl w:val="0"/>
          <w:numId w:val="6"/>
        </w:numPr>
        <w:rPr>
          <w:color w:val="0070C0"/>
        </w:rPr>
      </w:pPr>
      <w:r w:rsidRPr="002D2927">
        <w:rPr>
          <w:color w:val="0070C0"/>
        </w:rPr>
        <w:t xml:space="preserve">Pour </w:t>
      </w:r>
      <w:r w:rsidR="00933691">
        <w:rPr>
          <w:color w:val="0070C0"/>
        </w:rPr>
        <w:t>les</w:t>
      </w:r>
      <w:r w:rsidRPr="002D2927">
        <w:rPr>
          <w:color w:val="0070C0"/>
        </w:rPr>
        <w:t xml:space="preserve"> TPE, PME</w:t>
      </w:r>
      <w:r w:rsidR="00933691">
        <w:rPr>
          <w:color w:val="0070C0"/>
        </w:rPr>
        <w:t> :</w:t>
      </w:r>
    </w:p>
    <w:p w:rsidR="00933691" w:rsidRPr="006F1CEB" w:rsidRDefault="00933691" w:rsidP="00933691">
      <w:pPr>
        <w:pStyle w:val="Paragraphedeliste"/>
        <w:numPr>
          <w:ilvl w:val="1"/>
          <w:numId w:val="6"/>
        </w:numPr>
        <w:rPr>
          <w:color w:val="0070C0"/>
        </w:rPr>
      </w:pPr>
      <w:r w:rsidRPr="006F1CEB">
        <w:rPr>
          <w:color w:val="0070C0"/>
        </w:rPr>
        <w:t xml:space="preserve">Factures payées en retard : % en quantité </w:t>
      </w:r>
    </w:p>
    <w:p w:rsidR="00933691" w:rsidRPr="006F1CEB" w:rsidRDefault="00933691" w:rsidP="00933691">
      <w:pPr>
        <w:pStyle w:val="Paragraphedeliste"/>
        <w:numPr>
          <w:ilvl w:val="1"/>
          <w:numId w:val="6"/>
        </w:numPr>
        <w:rPr>
          <w:color w:val="0070C0"/>
        </w:rPr>
      </w:pPr>
      <w:r w:rsidRPr="006F1CEB">
        <w:rPr>
          <w:color w:val="0070C0"/>
        </w:rPr>
        <w:t xml:space="preserve">Factures payées à l'avance ou à l'heure : % en quantité </w:t>
      </w:r>
    </w:p>
    <w:p w:rsidR="00933691" w:rsidRPr="006F1CEB" w:rsidRDefault="00933691" w:rsidP="00933691">
      <w:pPr>
        <w:pStyle w:val="Paragraphedeliste"/>
        <w:numPr>
          <w:ilvl w:val="1"/>
          <w:numId w:val="6"/>
        </w:numPr>
        <w:rPr>
          <w:color w:val="0070C0"/>
        </w:rPr>
      </w:pPr>
      <w:r w:rsidRPr="006F1CEB">
        <w:rPr>
          <w:color w:val="0070C0"/>
        </w:rPr>
        <w:t xml:space="preserve">Délai de paiement moyen (jours calendaires) = moyenne </w:t>
      </w:r>
      <w:r>
        <w:rPr>
          <w:color w:val="0070C0"/>
        </w:rPr>
        <w:t>(non pondérée par les montants)</w:t>
      </w:r>
    </w:p>
    <w:p w:rsidR="00933691" w:rsidRPr="00933691" w:rsidRDefault="00B757C8" w:rsidP="00B757C8">
      <w:pPr>
        <w:jc w:val="both"/>
        <w:rPr>
          <w:color w:val="0070C0"/>
        </w:rPr>
      </w:pPr>
      <w:r>
        <w:rPr>
          <w:color w:val="0070C0"/>
        </w:rPr>
        <w:t>NB </w:t>
      </w:r>
      <w:r w:rsidR="0075713F">
        <w:rPr>
          <w:color w:val="0070C0"/>
        </w:rPr>
        <w:t>: la</w:t>
      </w:r>
      <w:r w:rsidR="00933691" w:rsidRPr="00933691">
        <w:rPr>
          <w:color w:val="0070C0"/>
        </w:rPr>
        <w:t xml:space="preserve"> r</w:t>
      </w:r>
      <w:r>
        <w:rPr>
          <w:color w:val="0070C0"/>
        </w:rPr>
        <w:t xml:space="preserve">ecommandation du labellisateur est </w:t>
      </w:r>
      <w:r w:rsidR="00933691" w:rsidRPr="00933691">
        <w:rPr>
          <w:color w:val="0070C0"/>
        </w:rPr>
        <w:t>de veiller aux profils type EA/ESAT et TPE/ PME.</w:t>
      </w:r>
    </w:p>
    <w:p w:rsidR="002D2927" w:rsidRPr="002D2927" w:rsidRDefault="002D2927" w:rsidP="002D2927">
      <w:pPr>
        <w:pStyle w:val="Paragraphedeliste"/>
        <w:numPr>
          <w:ilvl w:val="0"/>
          <w:numId w:val="6"/>
        </w:numPr>
        <w:rPr>
          <w:color w:val="0070C0"/>
        </w:rPr>
      </w:pPr>
      <w:r w:rsidRPr="002D2927">
        <w:rPr>
          <w:color w:val="0070C0"/>
        </w:rPr>
        <w:t>Pour les fournisseurs en forte dépendance (faible, moyen, fort)</w:t>
      </w:r>
    </w:p>
    <w:p w:rsidR="00933691" w:rsidRPr="006F1CEB" w:rsidRDefault="00933691" w:rsidP="00933691">
      <w:pPr>
        <w:pStyle w:val="Paragraphedeliste"/>
        <w:numPr>
          <w:ilvl w:val="1"/>
          <w:numId w:val="6"/>
        </w:numPr>
        <w:rPr>
          <w:color w:val="0070C0"/>
        </w:rPr>
      </w:pPr>
      <w:r w:rsidRPr="006F1CEB">
        <w:rPr>
          <w:color w:val="0070C0"/>
        </w:rPr>
        <w:t xml:space="preserve">Factures payées en retard : % en quantité </w:t>
      </w:r>
    </w:p>
    <w:p w:rsidR="00933691" w:rsidRPr="006F1CEB" w:rsidRDefault="00933691" w:rsidP="00933691">
      <w:pPr>
        <w:pStyle w:val="Paragraphedeliste"/>
        <w:numPr>
          <w:ilvl w:val="1"/>
          <w:numId w:val="6"/>
        </w:numPr>
        <w:rPr>
          <w:color w:val="0070C0"/>
        </w:rPr>
      </w:pPr>
      <w:r w:rsidRPr="006F1CEB">
        <w:rPr>
          <w:color w:val="0070C0"/>
        </w:rPr>
        <w:lastRenderedPageBreak/>
        <w:t xml:space="preserve">Factures payées à l'avance ou à l'heure : % en quantité </w:t>
      </w:r>
    </w:p>
    <w:p w:rsidR="00933691" w:rsidRPr="006F1CEB" w:rsidRDefault="00933691" w:rsidP="00933691">
      <w:pPr>
        <w:pStyle w:val="Paragraphedeliste"/>
        <w:numPr>
          <w:ilvl w:val="1"/>
          <w:numId w:val="6"/>
        </w:numPr>
        <w:rPr>
          <w:color w:val="0070C0"/>
        </w:rPr>
      </w:pPr>
      <w:r w:rsidRPr="006F1CEB">
        <w:rPr>
          <w:color w:val="0070C0"/>
        </w:rPr>
        <w:t xml:space="preserve">Délai de paiement moyen (jours calendaires) = moyenne </w:t>
      </w:r>
      <w:r>
        <w:rPr>
          <w:color w:val="0070C0"/>
        </w:rPr>
        <w:t>(non pondérée par les montants)</w:t>
      </w:r>
    </w:p>
    <w:p w:rsidR="002D2927" w:rsidRDefault="00B757C8" w:rsidP="00B757C8">
      <w:pPr>
        <w:jc w:val="both"/>
        <w:rPr>
          <w:color w:val="0070C0"/>
        </w:rPr>
      </w:pPr>
      <w:r>
        <w:rPr>
          <w:color w:val="0070C0"/>
        </w:rPr>
        <w:t xml:space="preserve">NB : </w:t>
      </w:r>
      <w:r w:rsidR="00933691" w:rsidRPr="00933691">
        <w:rPr>
          <w:color w:val="0070C0"/>
        </w:rPr>
        <w:t>Chaque candidat applique ses propres taux, le labellisateur n'a pas normé les tranches de dépendance</w:t>
      </w:r>
      <w:r>
        <w:rPr>
          <w:color w:val="0070C0"/>
        </w:rPr>
        <w:t xml:space="preserve">. </w:t>
      </w:r>
      <w:r w:rsidR="00933691" w:rsidRPr="00933691">
        <w:rPr>
          <w:color w:val="0070C0"/>
        </w:rPr>
        <w:t xml:space="preserve"> </w:t>
      </w:r>
    </w:p>
    <w:p w:rsidR="0045117B" w:rsidRPr="00933691" w:rsidRDefault="0045117B" w:rsidP="00B757C8">
      <w:pPr>
        <w:jc w:val="both"/>
        <w:rPr>
          <w:color w:val="0070C0"/>
        </w:rPr>
      </w:pPr>
    </w:p>
    <w:p w:rsidR="006F1CEB" w:rsidRPr="006F1CEB" w:rsidRDefault="006F1CEB" w:rsidP="0045117B">
      <w:pPr>
        <w:pStyle w:val="Paragraphedeliste"/>
        <w:ind w:left="0"/>
        <w:jc w:val="both"/>
        <w:rPr>
          <w:color w:val="0070C0"/>
        </w:rPr>
      </w:pPr>
      <w:r w:rsidRPr="006F1CEB">
        <w:rPr>
          <w:color w:val="0070C0"/>
        </w:rPr>
        <w:t xml:space="preserve">Les résultats de ces analyses qualitatives doivent servir à établir le plan de progrès pluriannuel pour améliorer la situation si nécessaire dans les 18 mois à 2 ans qui suivent l'obtention du label. </w:t>
      </w:r>
    </w:p>
    <w:p w:rsidR="0045117B" w:rsidRDefault="0045117B" w:rsidP="0045117B">
      <w:pPr>
        <w:pStyle w:val="Paragraphedeliste"/>
        <w:ind w:left="0"/>
        <w:jc w:val="both"/>
        <w:rPr>
          <w:color w:val="0070C0"/>
        </w:rPr>
      </w:pPr>
    </w:p>
    <w:p w:rsidR="006F1CEB" w:rsidRPr="006F1CEB" w:rsidRDefault="006F1CEB" w:rsidP="0045117B">
      <w:pPr>
        <w:pStyle w:val="Paragraphedeliste"/>
        <w:ind w:left="0"/>
        <w:jc w:val="both"/>
        <w:rPr>
          <w:color w:val="0070C0"/>
        </w:rPr>
      </w:pPr>
      <w:r w:rsidRPr="006F1CEB">
        <w:rPr>
          <w:color w:val="0070C0"/>
        </w:rPr>
        <w:t xml:space="preserve">Au cours de sa mission, des  analyses ou indicateurs complémentaires peuvent être demandés par l'évaluateur afin de forger son appréciation.  </w:t>
      </w:r>
    </w:p>
    <w:p w:rsidR="006F1CEB" w:rsidRPr="006F1CEB" w:rsidRDefault="006F1CEB" w:rsidP="006F1CEB">
      <w:pPr>
        <w:pStyle w:val="Paragraphedeliste"/>
        <w:jc w:val="both"/>
        <w:rPr>
          <w:color w:val="0070C0"/>
        </w:rPr>
      </w:pPr>
    </w:p>
    <w:p w:rsidR="006F1CEB" w:rsidRDefault="006F1CEB">
      <w:pPr>
        <w:rPr>
          <w:color w:val="0070C0"/>
        </w:rPr>
      </w:pPr>
      <w:r>
        <w:rPr>
          <w:color w:val="0070C0"/>
        </w:rPr>
        <w:br w:type="page"/>
      </w:r>
    </w:p>
    <w:p w:rsidR="008369F4" w:rsidRDefault="006F1CEB" w:rsidP="00C87C8B">
      <w:pPr>
        <w:jc w:val="center"/>
      </w:pPr>
      <w:r w:rsidRPr="006F1CEB">
        <w:rPr>
          <w:b/>
          <w:color w:val="0070C0"/>
          <w:u w:val="single"/>
        </w:rPr>
        <w:lastRenderedPageBreak/>
        <w:t>Annexe</w:t>
      </w:r>
      <w:r w:rsidR="00C87C8B" w:rsidRPr="00C87C8B">
        <w:t xml:space="preserve"> </w:t>
      </w:r>
    </w:p>
    <w:p w:rsidR="008369F4" w:rsidRDefault="008369F4" w:rsidP="00C87C8B">
      <w:pPr>
        <w:jc w:val="center"/>
        <w:rPr>
          <w:color w:val="0070C0"/>
        </w:rPr>
      </w:pPr>
      <w:r w:rsidRPr="008369F4">
        <w:rPr>
          <w:color w:val="0070C0"/>
        </w:rPr>
        <w:t xml:space="preserve">A </w:t>
      </w:r>
      <w:r w:rsidRPr="006F1CEB">
        <w:rPr>
          <w:color w:val="0070C0"/>
        </w:rPr>
        <w:t xml:space="preserve">reporter tel quel dans </w:t>
      </w:r>
      <w:r>
        <w:rPr>
          <w:color w:val="0070C0"/>
        </w:rPr>
        <w:t>le</w:t>
      </w:r>
      <w:r w:rsidRPr="006F1CEB">
        <w:rPr>
          <w:color w:val="0070C0"/>
        </w:rPr>
        <w:t xml:space="preserve"> rapport </w:t>
      </w:r>
      <w:r>
        <w:rPr>
          <w:color w:val="0070C0"/>
        </w:rPr>
        <w:t xml:space="preserve">de l’évaluateur </w:t>
      </w:r>
    </w:p>
    <w:p w:rsidR="00C87C8B" w:rsidRDefault="0075713F" w:rsidP="00C87C8B">
      <w:pPr>
        <w:jc w:val="center"/>
        <w:rPr>
          <w:color w:val="0070C0"/>
        </w:rPr>
      </w:pPr>
      <w:r w:rsidRPr="006F1CEB">
        <w:rPr>
          <w:color w:val="0070C0"/>
        </w:rPr>
        <w:t>Au</w:t>
      </w:r>
      <w:r w:rsidR="008369F4" w:rsidRPr="006F1CEB">
        <w:rPr>
          <w:color w:val="0070C0"/>
        </w:rPr>
        <w:t xml:space="preserve"> critère 3.1 " Piloter efficacement ",  au principe d'action " Mesurer pour améliorer "</w:t>
      </w:r>
    </w:p>
    <w:p w:rsidR="008369F4" w:rsidRPr="008369F4" w:rsidRDefault="008369F4" w:rsidP="008369F4">
      <w:pPr>
        <w:rPr>
          <w:b/>
          <w:sz w:val="24"/>
          <w:u w:val="single"/>
        </w:rPr>
      </w:pPr>
      <w:r w:rsidRPr="008369F4">
        <w:rPr>
          <w:b/>
          <w:color w:val="0070C0"/>
          <w:sz w:val="24"/>
          <w:u w:val="single"/>
        </w:rPr>
        <w:t>1 - Périmètre des données</w:t>
      </w:r>
      <w:r>
        <w:rPr>
          <w:b/>
          <w:color w:val="0070C0"/>
          <w:sz w:val="24"/>
          <w:u w:val="single"/>
        </w:rPr>
        <w:t xml:space="preserve"> : </w:t>
      </w:r>
    </w:p>
    <w:tbl>
      <w:tblPr>
        <w:tblStyle w:val="Grilledutableau"/>
        <w:tblW w:w="0" w:type="auto"/>
        <w:tblLook w:val="04A0" w:firstRow="1" w:lastRow="0" w:firstColumn="1" w:lastColumn="0" w:noHBand="0" w:noVBand="1"/>
      </w:tblPr>
      <w:tblGrid>
        <w:gridCol w:w="6724"/>
        <w:gridCol w:w="1121"/>
        <w:gridCol w:w="1217"/>
      </w:tblGrid>
      <w:tr w:rsidR="0038277A" w:rsidTr="00E811A8">
        <w:tc>
          <w:tcPr>
            <w:tcW w:w="6799" w:type="dxa"/>
          </w:tcPr>
          <w:p w:rsidR="0038277A" w:rsidRPr="009D6312" w:rsidRDefault="0038277A" w:rsidP="00E129D2">
            <w:pPr>
              <w:rPr>
                <w:color w:val="0070C0"/>
              </w:rPr>
            </w:pPr>
            <w:r w:rsidRPr="009D6312">
              <w:rPr>
                <w:color w:val="0070C0"/>
              </w:rPr>
              <w:t>Fournisseurs immatriculé s en France,</w:t>
            </w:r>
            <w:r w:rsidRPr="00B03D4A">
              <w:rPr>
                <w:color w:val="0070C0"/>
              </w:rPr>
              <w:t xml:space="preserve"> </w:t>
            </w:r>
            <w:r>
              <w:rPr>
                <w:color w:val="0070C0"/>
              </w:rPr>
              <w:t xml:space="preserve"> </w:t>
            </w:r>
            <w:r w:rsidRPr="009D6312">
              <w:rPr>
                <w:color w:val="0070C0"/>
              </w:rPr>
              <w:t>à l'exclusion des maisons mères/sœurs/filles</w:t>
            </w:r>
          </w:p>
          <w:p w:rsidR="0038277A" w:rsidRPr="009D6312" w:rsidRDefault="0038277A" w:rsidP="00E129D2">
            <w:pPr>
              <w:rPr>
                <w:color w:val="0070C0"/>
              </w:rPr>
            </w:pPr>
          </w:p>
        </w:tc>
        <w:tc>
          <w:tcPr>
            <w:tcW w:w="1131" w:type="dxa"/>
          </w:tcPr>
          <w:p w:rsidR="0038277A" w:rsidRDefault="0038277A" w:rsidP="00991A1E">
            <w:pPr>
              <w:rPr>
                <w:color w:val="0070C0"/>
              </w:rPr>
            </w:pPr>
            <w:r>
              <w:rPr>
                <w:color w:val="0070C0"/>
              </w:rPr>
              <w:t xml:space="preserve">Oui  </w:t>
            </w:r>
          </w:p>
          <w:p w:rsidR="0038277A" w:rsidRDefault="0038277A" w:rsidP="00B757C8">
            <w:pPr>
              <w:rPr>
                <w:color w:val="0070C0"/>
              </w:rPr>
            </w:pPr>
          </w:p>
        </w:tc>
        <w:tc>
          <w:tcPr>
            <w:tcW w:w="1132" w:type="dxa"/>
          </w:tcPr>
          <w:p w:rsidR="0038277A" w:rsidRDefault="0038277A" w:rsidP="0038277A">
            <w:pPr>
              <w:rPr>
                <w:color w:val="0070C0"/>
              </w:rPr>
            </w:pPr>
            <w:r>
              <w:rPr>
                <w:color w:val="0070C0"/>
              </w:rPr>
              <w:t xml:space="preserve">Non </w:t>
            </w:r>
            <w:r w:rsidRPr="0038277A">
              <w:rPr>
                <w:color w:val="0070C0"/>
              </w:rPr>
              <w:sym w:font="Wingdings" w:char="F0E8"/>
            </w:r>
            <w:r>
              <w:rPr>
                <w:color w:val="0070C0"/>
              </w:rPr>
              <w:t>Préciser</w:t>
            </w:r>
          </w:p>
          <w:p w:rsidR="0038277A" w:rsidRDefault="0038277A" w:rsidP="0038277A">
            <w:pPr>
              <w:rPr>
                <w:color w:val="0070C0"/>
              </w:rPr>
            </w:pPr>
            <w:r>
              <w:rPr>
                <w:color w:val="0070C0"/>
              </w:rPr>
              <w:t> la / les différences</w:t>
            </w:r>
            <w:r>
              <w:rPr>
                <w:color w:val="0070C0"/>
              </w:rPr>
              <w:br/>
            </w:r>
          </w:p>
        </w:tc>
      </w:tr>
      <w:tr w:rsidR="0038277A" w:rsidTr="00E811A8">
        <w:tc>
          <w:tcPr>
            <w:tcW w:w="6799" w:type="dxa"/>
          </w:tcPr>
          <w:p w:rsidR="0038277A" w:rsidRDefault="0038277A" w:rsidP="00E129D2">
            <w:pPr>
              <w:rPr>
                <w:color w:val="0070C0"/>
              </w:rPr>
            </w:pPr>
            <w:r w:rsidRPr="009D6312">
              <w:rPr>
                <w:color w:val="0070C0"/>
              </w:rPr>
              <w:t>Dépenses (y compris payées par carte d'achat) imputées aux comptes de charges ou déduites du CA</w:t>
            </w:r>
            <w:r>
              <w:rPr>
                <w:color w:val="0070C0"/>
              </w:rPr>
              <w:t xml:space="preserve"> (chiffre d’affaires) </w:t>
            </w:r>
            <w:r w:rsidRPr="009D6312">
              <w:rPr>
                <w:color w:val="0070C0"/>
              </w:rPr>
              <w:t xml:space="preserve"> ou PNB/PNA (produit net bancaire ou assurance) : </w:t>
            </w:r>
          </w:p>
          <w:p w:rsidR="0038277A" w:rsidRDefault="0038277A" w:rsidP="00E129D2">
            <w:pPr>
              <w:pStyle w:val="Paragraphedeliste"/>
              <w:numPr>
                <w:ilvl w:val="0"/>
                <w:numId w:val="2"/>
              </w:numPr>
              <w:rPr>
                <w:color w:val="0070C0"/>
              </w:rPr>
            </w:pPr>
            <w:r w:rsidRPr="00844A41">
              <w:rPr>
                <w:color w:val="0070C0"/>
              </w:rPr>
              <w:t>Achats (avec ou sans commande)</w:t>
            </w:r>
          </w:p>
          <w:p w:rsidR="0038277A" w:rsidRDefault="0038277A" w:rsidP="00E129D2">
            <w:pPr>
              <w:pStyle w:val="Paragraphedeliste"/>
              <w:numPr>
                <w:ilvl w:val="0"/>
                <w:numId w:val="2"/>
              </w:numPr>
              <w:rPr>
                <w:color w:val="0070C0"/>
              </w:rPr>
            </w:pPr>
            <w:r w:rsidRPr="009D6312">
              <w:rPr>
                <w:color w:val="0070C0"/>
              </w:rPr>
              <w:t xml:space="preserve">Prestations de service ou de sous-traitance </w:t>
            </w:r>
          </w:p>
          <w:p w:rsidR="0038277A" w:rsidRDefault="0038277A" w:rsidP="00E129D2">
            <w:pPr>
              <w:pStyle w:val="Paragraphedeliste"/>
              <w:numPr>
                <w:ilvl w:val="0"/>
                <w:numId w:val="2"/>
              </w:numPr>
              <w:rPr>
                <w:color w:val="0070C0"/>
              </w:rPr>
            </w:pPr>
            <w:r w:rsidRPr="009D6312">
              <w:rPr>
                <w:color w:val="0070C0"/>
              </w:rPr>
              <w:t>Honoraires</w:t>
            </w:r>
          </w:p>
          <w:p w:rsidR="0038277A" w:rsidRDefault="0038277A" w:rsidP="00E129D2">
            <w:pPr>
              <w:pStyle w:val="Paragraphedeliste"/>
              <w:numPr>
                <w:ilvl w:val="0"/>
                <w:numId w:val="2"/>
              </w:numPr>
              <w:rPr>
                <w:color w:val="0070C0"/>
              </w:rPr>
            </w:pPr>
            <w:r w:rsidRPr="009D6312">
              <w:rPr>
                <w:color w:val="0070C0"/>
              </w:rPr>
              <w:t>Commissions (assurance, courtage, apporteurs d'affaires…)</w:t>
            </w:r>
          </w:p>
          <w:p w:rsidR="0038277A" w:rsidRDefault="0038277A" w:rsidP="00E129D2">
            <w:pPr>
              <w:pStyle w:val="Paragraphedeliste"/>
              <w:numPr>
                <w:ilvl w:val="0"/>
                <w:numId w:val="2"/>
              </w:numPr>
              <w:rPr>
                <w:color w:val="0070C0"/>
              </w:rPr>
            </w:pPr>
            <w:r w:rsidRPr="009D6312">
              <w:rPr>
                <w:color w:val="0070C0"/>
              </w:rPr>
              <w:t>Abonnements</w:t>
            </w:r>
          </w:p>
          <w:p w:rsidR="0038277A" w:rsidRDefault="0038277A" w:rsidP="00E129D2">
            <w:pPr>
              <w:pStyle w:val="Paragraphedeliste"/>
              <w:numPr>
                <w:ilvl w:val="0"/>
                <w:numId w:val="2"/>
              </w:numPr>
              <w:rPr>
                <w:color w:val="0070C0"/>
              </w:rPr>
            </w:pPr>
            <w:r w:rsidRPr="009D6312">
              <w:rPr>
                <w:color w:val="0070C0"/>
              </w:rPr>
              <w:t>Redevances</w:t>
            </w:r>
          </w:p>
          <w:p w:rsidR="0038277A" w:rsidRDefault="0038277A" w:rsidP="00E129D2">
            <w:pPr>
              <w:pStyle w:val="Paragraphedeliste"/>
              <w:numPr>
                <w:ilvl w:val="0"/>
                <w:numId w:val="2"/>
              </w:numPr>
              <w:rPr>
                <w:color w:val="0070C0"/>
              </w:rPr>
            </w:pPr>
            <w:r w:rsidRPr="009D6312">
              <w:rPr>
                <w:color w:val="0070C0"/>
              </w:rPr>
              <w:t>Loyers</w:t>
            </w:r>
          </w:p>
          <w:p w:rsidR="0038277A" w:rsidRDefault="0038277A" w:rsidP="00E129D2">
            <w:pPr>
              <w:pStyle w:val="Paragraphedeliste"/>
              <w:numPr>
                <w:ilvl w:val="0"/>
                <w:numId w:val="2"/>
              </w:numPr>
              <w:rPr>
                <w:color w:val="0070C0"/>
              </w:rPr>
            </w:pPr>
            <w:r w:rsidRPr="009D6312">
              <w:rPr>
                <w:color w:val="0070C0"/>
              </w:rPr>
              <w:t>Assurances</w:t>
            </w:r>
          </w:p>
          <w:p w:rsidR="0038277A" w:rsidRDefault="0038277A" w:rsidP="00E129D2">
            <w:pPr>
              <w:pStyle w:val="Paragraphedeliste"/>
              <w:numPr>
                <w:ilvl w:val="0"/>
                <w:numId w:val="2"/>
              </w:numPr>
              <w:rPr>
                <w:color w:val="0070C0"/>
              </w:rPr>
            </w:pPr>
            <w:r>
              <w:rPr>
                <w:color w:val="0070C0"/>
              </w:rPr>
              <w:t>Immobilier</w:t>
            </w:r>
          </w:p>
          <w:p w:rsidR="0038277A" w:rsidRPr="00F515BF" w:rsidRDefault="0038277A" w:rsidP="00E129D2">
            <w:pPr>
              <w:pStyle w:val="Paragraphedeliste"/>
              <w:numPr>
                <w:ilvl w:val="0"/>
                <w:numId w:val="2"/>
              </w:numPr>
              <w:rPr>
                <w:color w:val="0070C0"/>
              </w:rPr>
            </w:pPr>
            <w:r>
              <w:rPr>
                <w:color w:val="0070C0"/>
              </w:rPr>
              <w:t xml:space="preserve">Cotisations avec TVA   </w:t>
            </w:r>
          </w:p>
          <w:p w:rsidR="0038277A" w:rsidRPr="00E129D2" w:rsidRDefault="0038277A" w:rsidP="00E129D2">
            <w:pPr>
              <w:rPr>
                <w:color w:val="0070C0"/>
              </w:rPr>
            </w:pPr>
            <w:r w:rsidRPr="006D7261">
              <w:rPr>
                <w:color w:val="0070C0"/>
              </w:rPr>
              <w:t>Inclure tous avoirs et factures, y compris d'acompte, y compris litigieuses, y compris payées partiellement ou non</w:t>
            </w:r>
          </w:p>
        </w:tc>
        <w:tc>
          <w:tcPr>
            <w:tcW w:w="1131" w:type="dxa"/>
          </w:tcPr>
          <w:p w:rsidR="0038277A" w:rsidRDefault="0038277A" w:rsidP="0038277A">
            <w:pPr>
              <w:rPr>
                <w:color w:val="0070C0"/>
              </w:rPr>
            </w:pPr>
            <w:r>
              <w:rPr>
                <w:color w:val="0070C0"/>
              </w:rPr>
              <w:t>Oui </w:t>
            </w:r>
          </w:p>
        </w:tc>
        <w:tc>
          <w:tcPr>
            <w:tcW w:w="1132" w:type="dxa"/>
          </w:tcPr>
          <w:p w:rsidR="0038277A" w:rsidRDefault="0038277A" w:rsidP="0038277A">
            <w:pPr>
              <w:rPr>
                <w:color w:val="0070C0"/>
              </w:rPr>
            </w:pPr>
            <w:r>
              <w:rPr>
                <w:color w:val="0070C0"/>
              </w:rPr>
              <w:t xml:space="preserve">Non </w:t>
            </w:r>
            <w:r w:rsidRPr="00B757C8">
              <w:rPr>
                <w:color w:val="0070C0"/>
              </w:rPr>
              <w:sym w:font="Wingdings" w:char="F0E8"/>
            </w:r>
            <w:r>
              <w:rPr>
                <w:color w:val="0070C0"/>
              </w:rPr>
              <w:t>Préciser</w:t>
            </w:r>
          </w:p>
          <w:p w:rsidR="0038277A" w:rsidRDefault="0038277A" w:rsidP="0038277A">
            <w:pPr>
              <w:rPr>
                <w:color w:val="0070C0"/>
              </w:rPr>
            </w:pPr>
            <w:r>
              <w:rPr>
                <w:color w:val="0070C0"/>
              </w:rPr>
              <w:t> la / les différences</w:t>
            </w:r>
          </w:p>
        </w:tc>
      </w:tr>
      <w:tr w:rsidR="0038277A" w:rsidTr="00E811A8">
        <w:tc>
          <w:tcPr>
            <w:tcW w:w="6799" w:type="dxa"/>
          </w:tcPr>
          <w:p w:rsidR="0038277A" w:rsidRDefault="0038277A" w:rsidP="00E129D2">
            <w:pPr>
              <w:rPr>
                <w:color w:val="0070C0"/>
              </w:rPr>
            </w:pPr>
            <w:r w:rsidRPr="009D6312">
              <w:rPr>
                <w:color w:val="0070C0"/>
              </w:rPr>
              <w:t>Dépenses</w:t>
            </w:r>
            <w:r>
              <w:rPr>
                <w:color w:val="0070C0"/>
              </w:rPr>
              <w:t xml:space="preserve"> exclues </w:t>
            </w:r>
            <w:r w:rsidRPr="009D6312">
              <w:rPr>
                <w:color w:val="0070C0"/>
              </w:rPr>
              <w:t xml:space="preserve">: </w:t>
            </w:r>
          </w:p>
          <w:p w:rsidR="0038277A" w:rsidRDefault="0038277A" w:rsidP="00E129D2">
            <w:pPr>
              <w:pStyle w:val="Paragraphedeliste"/>
              <w:numPr>
                <w:ilvl w:val="0"/>
                <w:numId w:val="2"/>
              </w:numPr>
              <w:rPr>
                <w:color w:val="0070C0"/>
              </w:rPr>
            </w:pPr>
            <w:r>
              <w:rPr>
                <w:color w:val="0070C0"/>
              </w:rPr>
              <w:t>Impôts et taxes</w:t>
            </w:r>
          </w:p>
          <w:p w:rsidR="0038277A" w:rsidRDefault="0038277A" w:rsidP="00E129D2">
            <w:pPr>
              <w:pStyle w:val="Paragraphedeliste"/>
              <w:numPr>
                <w:ilvl w:val="0"/>
                <w:numId w:val="2"/>
              </w:numPr>
              <w:rPr>
                <w:color w:val="0070C0"/>
              </w:rPr>
            </w:pPr>
            <w:r>
              <w:rPr>
                <w:color w:val="0070C0"/>
              </w:rPr>
              <w:t>Cotisations sans TVA</w:t>
            </w:r>
          </w:p>
          <w:p w:rsidR="0038277A" w:rsidRDefault="0038277A" w:rsidP="00E129D2">
            <w:pPr>
              <w:pStyle w:val="Paragraphedeliste"/>
              <w:numPr>
                <w:ilvl w:val="0"/>
                <w:numId w:val="2"/>
              </w:numPr>
              <w:rPr>
                <w:color w:val="0070C0"/>
              </w:rPr>
            </w:pPr>
            <w:r>
              <w:rPr>
                <w:color w:val="0070C0"/>
              </w:rPr>
              <w:t>Mécénat</w:t>
            </w:r>
          </w:p>
          <w:p w:rsidR="0038277A" w:rsidRDefault="0038277A" w:rsidP="00E129D2">
            <w:pPr>
              <w:pStyle w:val="Paragraphedeliste"/>
              <w:numPr>
                <w:ilvl w:val="0"/>
                <w:numId w:val="2"/>
              </w:numPr>
              <w:rPr>
                <w:color w:val="0070C0"/>
              </w:rPr>
            </w:pPr>
            <w:r w:rsidRPr="009D6312">
              <w:rPr>
                <w:color w:val="0070C0"/>
              </w:rPr>
              <w:t xml:space="preserve">Notes de frais </w:t>
            </w:r>
          </w:p>
          <w:p w:rsidR="0038277A" w:rsidRDefault="0038277A" w:rsidP="00E129D2">
            <w:pPr>
              <w:pStyle w:val="Paragraphedeliste"/>
              <w:numPr>
                <w:ilvl w:val="0"/>
                <w:numId w:val="2"/>
              </w:numPr>
              <w:rPr>
                <w:color w:val="0070C0"/>
              </w:rPr>
            </w:pPr>
            <w:r>
              <w:rPr>
                <w:color w:val="0070C0"/>
              </w:rPr>
              <w:t>Salaires et charges sociales</w:t>
            </w:r>
          </w:p>
          <w:p w:rsidR="0038277A" w:rsidRDefault="0038277A" w:rsidP="006D7261">
            <w:pPr>
              <w:rPr>
                <w:color w:val="0070C0"/>
              </w:rPr>
            </w:pPr>
            <w:r w:rsidRPr="009D6312">
              <w:rPr>
                <w:color w:val="0070C0"/>
              </w:rPr>
              <w:t>Exclure les paiements différés pour retenue de garanties qui ne sont pas à considérer comme du retard.</w:t>
            </w:r>
          </w:p>
        </w:tc>
        <w:tc>
          <w:tcPr>
            <w:tcW w:w="1131" w:type="dxa"/>
          </w:tcPr>
          <w:p w:rsidR="0038277A" w:rsidRDefault="0038277A" w:rsidP="0038277A">
            <w:pPr>
              <w:rPr>
                <w:color w:val="0070C0"/>
              </w:rPr>
            </w:pPr>
            <w:r>
              <w:rPr>
                <w:color w:val="0070C0"/>
              </w:rPr>
              <w:t>Oui</w:t>
            </w:r>
          </w:p>
        </w:tc>
        <w:tc>
          <w:tcPr>
            <w:tcW w:w="1132" w:type="dxa"/>
          </w:tcPr>
          <w:p w:rsidR="0038277A" w:rsidRDefault="0038277A" w:rsidP="0038277A">
            <w:pPr>
              <w:rPr>
                <w:color w:val="0070C0"/>
              </w:rPr>
            </w:pPr>
            <w:r>
              <w:rPr>
                <w:color w:val="0070C0"/>
              </w:rPr>
              <w:t xml:space="preserve">Non </w:t>
            </w:r>
            <w:r w:rsidRPr="0038277A">
              <w:rPr>
                <w:color w:val="0070C0"/>
              </w:rPr>
              <w:sym w:font="Wingdings" w:char="F0E8"/>
            </w:r>
            <w:r>
              <w:rPr>
                <w:color w:val="0070C0"/>
              </w:rPr>
              <w:t>Préciser</w:t>
            </w:r>
          </w:p>
          <w:p w:rsidR="0038277A" w:rsidRDefault="0038277A" w:rsidP="0038277A">
            <w:pPr>
              <w:rPr>
                <w:color w:val="0070C0"/>
              </w:rPr>
            </w:pPr>
            <w:r>
              <w:rPr>
                <w:color w:val="0070C0"/>
              </w:rPr>
              <w:t> la / les différences</w:t>
            </w:r>
          </w:p>
        </w:tc>
      </w:tr>
    </w:tbl>
    <w:p w:rsidR="006D7261" w:rsidRDefault="006D7261" w:rsidP="00991A1E">
      <w:pPr>
        <w:rPr>
          <w:color w:val="0070C0"/>
        </w:rPr>
      </w:pPr>
    </w:p>
    <w:p w:rsidR="008369F4" w:rsidRPr="008369F4" w:rsidRDefault="008369F4" w:rsidP="00991A1E">
      <w:pPr>
        <w:rPr>
          <w:b/>
          <w:color w:val="0070C0"/>
          <w:sz w:val="24"/>
        </w:rPr>
      </w:pPr>
      <w:r w:rsidRPr="008369F4">
        <w:rPr>
          <w:b/>
          <w:color w:val="0070C0"/>
          <w:sz w:val="24"/>
        </w:rPr>
        <w:t xml:space="preserve">2. </w:t>
      </w:r>
      <w:r w:rsidRPr="008369F4">
        <w:rPr>
          <w:b/>
          <w:color w:val="0070C0"/>
          <w:sz w:val="24"/>
          <w:u w:val="single"/>
        </w:rPr>
        <w:t>Méthode de calcul des délais</w:t>
      </w:r>
      <w:r w:rsidRPr="008369F4">
        <w:rPr>
          <w:b/>
          <w:color w:val="0070C0"/>
          <w:sz w:val="24"/>
        </w:rPr>
        <w:t xml:space="preserve"> : </w:t>
      </w:r>
    </w:p>
    <w:tbl>
      <w:tblPr>
        <w:tblStyle w:val="Grilledutableau"/>
        <w:tblW w:w="0" w:type="auto"/>
        <w:tblLook w:val="04A0" w:firstRow="1" w:lastRow="0" w:firstColumn="1" w:lastColumn="0" w:noHBand="0" w:noVBand="1"/>
      </w:tblPr>
      <w:tblGrid>
        <w:gridCol w:w="1555"/>
        <w:gridCol w:w="3543"/>
        <w:gridCol w:w="3964"/>
      </w:tblGrid>
      <w:tr w:rsidR="0038277A" w:rsidTr="008369F4">
        <w:tc>
          <w:tcPr>
            <w:tcW w:w="1555" w:type="dxa"/>
          </w:tcPr>
          <w:p w:rsidR="0038277A" w:rsidRDefault="0038277A" w:rsidP="00991A1E">
            <w:pPr>
              <w:rPr>
                <w:color w:val="0070C0"/>
              </w:rPr>
            </w:pPr>
            <w:r>
              <w:rPr>
                <w:color w:val="0070C0"/>
              </w:rPr>
              <w:t>Méthode de calcul des délais utilisée</w:t>
            </w:r>
          </w:p>
        </w:tc>
        <w:tc>
          <w:tcPr>
            <w:tcW w:w="3543" w:type="dxa"/>
          </w:tcPr>
          <w:p w:rsidR="0038277A" w:rsidRPr="008369F4" w:rsidRDefault="0038277A" w:rsidP="0038277A">
            <w:pPr>
              <w:jc w:val="center"/>
              <w:rPr>
                <w:b/>
                <w:color w:val="0070C0"/>
              </w:rPr>
            </w:pPr>
            <w:r w:rsidRPr="008369F4">
              <w:rPr>
                <w:b/>
                <w:color w:val="0070C0"/>
              </w:rPr>
              <w:t>Méthode A</w:t>
            </w:r>
          </w:p>
          <w:p w:rsidR="008369F4" w:rsidRDefault="0038277A" w:rsidP="0038277A">
            <w:pPr>
              <w:jc w:val="center"/>
              <w:rPr>
                <w:color w:val="0070C0"/>
              </w:rPr>
            </w:pPr>
            <w:r w:rsidRPr="009D6312">
              <w:rPr>
                <w:color w:val="0070C0"/>
              </w:rPr>
              <w:t>[date</w:t>
            </w:r>
            <w:r w:rsidR="008369F4">
              <w:rPr>
                <w:color w:val="0070C0"/>
              </w:rPr>
              <w:t xml:space="preserve"> de paiement </w:t>
            </w:r>
          </w:p>
          <w:p w:rsidR="008369F4" w:rsidRDefault="008369F4" w:rsidP="0038277A">
            <w:pPr>
              <w:jc w:val="center"/>
              <w:rPr>
                <w:color w:val="0070C0"/>
              </w:rPr>
            </w:pPr>
            <w:r>
              <w:rPr>
                <w:color w:val="0070C0"/>
              </w:rPr>
              <w:t xml:space="preserve">- </w:t>
            </w:r>
          </w:p>
          <w:p w:rsidR="0038277A" w:rsidRDefault="008369F4" w:rsidP="0038277A">
            <w:pPr>
              <w:jc w:val="center"/>
              <w:rPr>
                <w:color w:val="0070C0"/>
              </w:rPr>
            </w:pPr>
            <w:r>
              <w:rPr>
                <w:color w:val="0070C0"/>
              </w:rPr>
              <w:t>date d'échéance]</w:t>
            </w:r>
          </w:p>
        </w:tc>
        <w:tc>
          <w:tcPr>
            <w:tcW w:w="3964" w:type="dxa"/>
          </w:tcPr>
          <w:p w:rsidR="0038277A" w:rsidRPr="008369F4" w:rsidRDefault="0038277A" w:rsidP="008369F4">
            <w:pPr>
              <w:jc w:val="center"/>
              <w:rPr>
                <w:b/>
                <w:color w:val="0070C0"/>
              </w:rPr>
            </w:pPr>
            <w:r w:rsidRPr="008369F4">
              <w:rPr>
                <w:b/>
                <w:color w:val="0070C0"/>
              </w:rPr>
              <w:t>Méthode B</w:t>
            </w:r>
          </w:p>
          <w:p w:rsidR="008369F4" w:rsidRPr="008369F4" w:rsidRDefault="008369F4" w:rsidP="008369F4">
            <w:pPr>
              <w:jc w:val="center"/>
              <w:rPr>
                <w:color w:val="0070C0"/>
              </w:rPr>
            </w:pPr>
            <w:r w:rsidRPr="008369F4">
              <w:rPr>
                <w:color w:val="0070C0"/>
              </w:rPr>
              <w:t>[date de paiement</w:t>
            </w:r>
          </w:p>
          <w:p w:rsidR="008369F4" w:rsidRPr="008369F4" w:rsidRDefault="008369F4" w:rsidP="008369F4">
            <w:pPr>
              <w:jc w:val="center"/>
              <w:rPr>
                <w:color w:val="0070C0"/>
              </w:rPr>
            </w:pPr>
            <w:r w:rsidRPr="008369F4">
              <w:rPr>
                <w:color w:val="0070C0"/>
              </w:rPr>
              <w:t>-</w:t>
            </w:r>
          </w:p>
          <w:p w:rsidR="008369F4" w:rsidRPr="008369F4" w:rsidRDefault="008369F4" w:rsidP="008369F4">
            <w:pPr>
              <w:jc w:val="center"/>
              <w:rPr>
                <w:color w:val="0070C0"/>
              </w:rPr>
            </w:pPr>
            <w:r w:rsidRPr="008369F4">
              <w:rPr>
                <w:color w:val="0070C0"/>
              </w:rPr>
              <w:t>(date d'émission</w:t>
            </w:r>
            <w:r w:rsidRPr="008369F4">
              <w:rPr>
                <w:color w:val="0070C0"/>
                <w:vertAlign w:val="superscript"/>
              </w:rPr>
              <w:t>(a)</w:t>
            </w:r>
            <w:r w:rsidRPr="008369F4">
              <w:rPr>
                <w:color w:val="0070C0"/>
              </w:rPr>
              <w:t xml:space="preserve"> + 60jours</w:t>
            </w:r>
            <w:r w:rsidRPr="008369F4">
              <w:rPr>
                <w:color w:val="0070C0"/>
                <w:vertAlign w:val="superscript"/>
              </w:rPr>
              <w:t>(b)</w:t>
            </w:r>
            <w:r w:rsidRPr="008369F4">
              <w:rPr>
                <w:color w:val="0070C0"/>
              </w:rPr>
              <w:t>)].</w:t>
            </w:r>
          </w:p>
          <w:p w:rsidR="008369F4" w:rsidRDefault="008369F4" w:rsidP="008369F4">
            <w:pPr>
              <w:jc w:val="both"/>
              <w:rPr>
                <w:color w:val="0070C0"/>
                <w:sz w:val="18"/>
              </w:rPr>
            </w:pPr>
          </w:p>
          <w:p w:rsidR="008369F4" w:rsidRPr="008369F4" w:rsidRDefault="008369F4" w:rsidP="008369F4">
            <w:pPr>
              <w:jc w:val="both"/>
              <w:rPr>
                <w:color w:val="0070C0"/>
                <w:sz w:val="18"/>
              </w:rPr>
            </w:pPr>
            <w:r w:rsidRPr="008369F4">
              <w:rPr>
                <w:color w:val="0070C0"/>
                <w:sz w:val="18"/>
              </w:rPr>
              <w:t xml:space="preserve"> (a) il est entendu que pour les marchés publics, la date de réception de la facture se substitue à la date d'émission. </w:t>
            </w:r>
          </w:p>
          <w:p w:rsidR="008369F4" w:rsidRDefault="008369F4" w:rsidP="008369F4">
            <w:pPr>
              <w:jc w:val="both"/>
              <w:rPr>
                <w:color w:val="0070C0"/>
                <w:sz w:val="18"/>
              </w:rPr>
            </w:pPr>
          </w:p>
          <w:p w:rsidR="008369F4" w:rsidRDefault="008369F4" w:rsidP="008369F4">
            <w:pPr>
              <w:jc w:val="both"/>
              <w:rPr>
                <w:color w:val="0070C0"/>
                <w:sz w:val="18"/>
              </w:rPr>
            </w:pPr>
            <w:r w:rsidRPr="008369F4">
              <w:rPr>
                <w:color w:val="0070C0"/>
                <w:sz w:val="18"/>
              </w:rPr>
              <w:t xml:space="preserve"> (b) pour les acheteurs publics : substituer 60 jours par 30 jours, la formule devient : </w:t>
            </w:r>
          </w:p>
          <w:p w:rsidR="008369F4" w:rsidRPr="008369F4" w:rsidRDefault="008369F4" w:rsidP="008369F4">
            <w:pPr>
              <w:jc w:val="both"/>
              <w:rPr>
                <w:color w:val="0070C0"/>
                <w:sz w:val="18"/>
              </w:rPr>
            </w:pPr>
            <w:r w:rsidRPr="008369F4">
              <w:rPr>
                <w:color w:val="0070C0"/>
                <w:sz w:val="18"/>
              </w:rPr>
              <w:t>[date de paiement – (</w:t>
            </w:r>
            <w:r>
              <w:rPr>
                <w:color w:val="0070C0"/>
                <w:sz w:val="18"/>
              </w:rPr>
              <w:t>date de réception + 30 jours)] </w:t>
            </w:r>
          </w:p>
          <w:p w:rsidR="008369F4" w:rsidRPr="008369F4" w:rsidRDefault="008369F4" w:rsidP="008369F4">
            <w:pPr>
              <w:jc w:val="both"/>
              <w:rPr>
                <w:color w:val="0070C0"/>
                <w:sz w:val="18"/>
              </w:rPr>
            </w:pPr>
            <w:r w:rsidRPr="008369F4">
              <w:rPr>
                <w:color w:val="0070C0"/>
                <w:sz w:val="18"/>
              </w:rPr>
              <w:t xml:space="preserve">sauf par exception : </w:t>
            </w:r>
          </w:p>
          <w:p w:rsidR="008369F4" w:rsidRPr="008369F4" w:rsidRDefault="008369F4" w:rsidP="008369F4">
            <w:pPr>
              <w:jc w:val="both"/>
              <w:rPr>
                <w:color w:val="0070C0"/>
                <w:sz w:val="18"/>
              </w:rPr>
            </w:pPr>
            <w:r w:rsidRPr="008369F4">
              <w:rPr>
                <w:color w:val="0070C0"/>
                <w:sz w:val="18"/>
              </w:rPr>
              <w:t>pour les services de santé : + 50 jours </w:t>
            </w:r>
          </w:p>
          <w:p w:rsidR="008369F4" w:rsidRPr="008369F4" w:rsidRDefault="008369F4" w:rsidP="008369F4">
            <w:pPr>
              <w:jc w:val="both"/>
              <w:rPr>
                <w:color w:val="0070C0"/>
                <w:sz w:val="18"/>
              </w:rPr>
            </w:pPr>
            <w:r w:rsidRPr="008369F4">
              <w:rPr>
                <w:color w:val="0070C0"/>
                <w:sz w:val="18"/>
              </w:rPr>
              <w:t>et  pour la SNCF : + 60 jours.</w:t>
            </w:r>
            <w:r w:rsidRPr="00B757C8">
              <w:rPr>
                <w:color w:val="0070C0"/>
                <w:sz w:val="18"/>
              </w:rPr>
              <w:t xml:space="preserve"> </w:t>
            </w:r>
          </w:p>
        </w:tc>
      </w:tr>
    </w:tbl>
    <w:p w:rsidR="00654395" w:rsidRDefault="00654395" w:rsidP="00F2767D"/>
    <w:sectPr w:rsidR="00654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F7A"/>
    <w:multiLevelType w:val="hybridMultilevel"/>
    <w:tmpl w:val="92D6A498"/>
    <w:lvl w:ilvl="0" w:tplc="C2023A1A">
      <w:start w:val="1"/>
      <w:numFmt w:val="bullet"/>
      <w:lvlText w:val="-"/>
      <w:lvlJc w:val="left"/>
      <w:pPr>
        <w:ind w:left="1788"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694584F"/>
    <w:multiLevelType w:val="hybridMultilevel"/>
    <w:tmpl w:val="EBB29FEE"/>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932061"/>
    <w:multiLevelType w:val="hybridMultilevel"/>
    <w:tmpl w:val="CFE873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FC02BE"/>
    <w:multiLevelType w:val="hybridMultilevel"/>
    <w:tmpl w:val="4CDA9E14"/>
    <w:lvl w:ilvl="0" w:tplc="C2023A1A">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BB53541"/>
    <w:multiLevelType w:val="hybridMultilevel"/>
    <w:tmpl w:val="B156CA36"/>
    <w:lvl w:ilvl="0" w:tplc="45541BE0">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745D66D2"/>
    <w:multiLevelType w:val="hybridMultilevel"/>
    <w:tmpl w:val="53C2A53A"/>
    <w:lvl w:ilvl="0" w:tplc="B1CC858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95"/>
    <w:rsid w:val="00021170"/>
    <w:rsid w:val="00047BF7"/>
    <w:rsid w:val="00054CFA"/>
    <w:rsid w:val="0006026E"/>
    <w:rsid w:val="00084844"/>
    <w:rsid w:val="0009091A"/>
    <w:rsid w:val="000B309D"/>
    <w:rsid w:val="000E467F"/>
    <w:rsid w:val="000E6719"/>
    <w:rsid w:val="00113B19"/>
    <w:rsid w:val="00114C86"/>
    <w:rsid w:val="00116E0F"/>
    <w:rsid w:val="00123E90"/>
    <w:rsid w:val="001520FE"/>
    <w:rsid w:val="00153589"/>
    <w:rsid w:val="00196D52"/>
    <w:rsid w:val="001976BE"/>
    <w:rsid w:val="001B34EA"/>
    <w:rsid w:val="001B61D2"/>
    <w:rsid w:val="001C2710"/>
    <w:rsid w:val="001C5B5F"/>
    <w:rsid w:val="001D11AB"/>
    <w:rsid w:val="001D278E"/>
    <w:rsid w:val="001F4D84"/>
    <w:rsid w:val="00201B00"/>
    <w:rsid w:val="00211176"/>
    <w:rsid w:val="00211400"/>
    <w:rsid w:val="002204FC"/>
    <w:rsid w:val="00227315"/>
    <w:rsid w:val="00252CC7"/>
    <w:rsid w:val="00265D62"/>
    <w:rsid w:val="002770B3"/>
    <w:rsid w:val="00281337"/>
    <w:rsid w:val="002A5D9D"/>
    <w:rsid w:val="002D2927"/>
    <w:rsid w:val="002E7E37"/>
    <w:rsid w:val="003134F5"/>
    <w:rsid w:val="00314723"/>
    <w:rsid w:val="003349B6"/>
    <w:rsid w:val="00381C79"/>
    <w:rsid w:val="0038277A"/>
    <w:rsid w:val="0039185E"/>
    <w:rsid w:val="003A0BB1"/>
    <w:rsid w:val="003C3BDD"/>
    <w:rsid w:val="003D3437"/>
    <w:rsid w:val="00402599"/>
    <w:rsid w:val="0040631A"/>
    <w:rsid w:val="00450426"/>
    <w:rsid w:val="0045117B"/>
    <w:rsid w:val="00482611"/>
    <w:rsid w:val="0048419C"/>
    <w:rsid w:val="00486BE6"/>
    <w:rsid w:val="004D452D"/>
    <w:rsid w:val="004E1DF7"/>
    <w:rsid w:val="0052169C"/>
    <w:rsid w:val="0053024B"/>
    <w:rsid w:val="00554D5C"/>
    <w:rsid w:val="0057493A"/>
    <w:rsid w:val="005864A7"/>
    <w:rsid w:val="00594B9F"/>
    <w:rsid w:val="005967E0"/>
    <w:rsid w:val="005971B2"/>
    <w:rsid w:val="005B3D63"/>
    <w:rsid w:val="005B7481"/>
    <w:rsid w:val="005E7E81"/>
    <w:rsid w:val="005F2E52"/>
    <w:rsid w:val="005F6F27"/>
    <w:rsid w:val="00623DD8"/>
    <w:rsid w:val="00647D21"/>
    <w:rsid w:val="00654395"/>
    <w:rsid w:val="0065556A"/>
    <w:rsid w:val="006575E6"/>
    <w:rsid w:val="00682D47"/>
    <w:rsid w:val="006839E8"/>
    <w:rsid w:val="006911C9"/>
    <w:rsid w:val="006966DD"/>
    <w:rsid w:val="006A43E3"/>
    <w:rsid w:val="006B0AD3"/>
    <w:rsid w:val="006B633F"/>
    <w:rsid w:val="006D2567"/>
    <w:rsid w:val="006D7261"/>
    <w:rsid w:val="006F1CEB"/>
    <w:rsid w:val="006F328D"/>
    <w:rsid w:val="00704F61"/>
    <w:rsid w:val="007170AE"/>
    <w:rsid w:val="007213AA"/>
    <w:rsid w:val="007277FE"/>
    <w:rsid w:val="00752CF3"/>
    <w:rsid w:val="0075678F"/>
    <w:rsid w:val="0075713F"/>
    <w:rsid w:val="00764F8F"/>
    <w:rsid w:val="007915AA"/>
    <w:rsid w:val="00793938"/>
    <w:rsid w:val="00797DD2"/>
    <w:rsid w:val="007C1B78"/>
    <w:rsid w:val="007D3AF6"/>
    <w:rsid w:val="007F0CA4"/>
    <w:rsid w:val="007F4ED5"/>
    <w:rsid w:val="008369F4"/>
    <w:rsid w:val="00844A41"/>
    <w:rsid w:val="00844A57"/>
    <w:rsid w:val="00844D0D"/>
    <w:rsid w:val="008467FB"/>
    <w:rsid w:val="008554F2"/>
    <w:rsid w:val="00867888"/>
    <w:rsid w:val="008A5E8E"/>
    <w:rsid w:val="008B0FA6"/>
    <w:rsid w:val="008D0CC3"/>
    <w:rsid w:val="0093078B"/>
    <w:rsid w:val="00933691"/>
    <w:rsid w:val="00940526"/>
    <w:rsid w:val="0094544D"/>
    <w:rsid w:val="00987D94"/>
    <w:rsid w:val="00991517"/>
    <w:rsid w:val="00991A1E"/>
    <w:rsid w:val="009A6AC4"/>
    <w:rsid w:val="009B0594"/>
    <w:rsid w:val="009B4F8F"/>
    <w:rsid w:val="009C20F3"/>
    <w:rsid w:val="009D6312"/>
    <w:rsid w:val="00A01C51"/>
    <w:rsid w:val="00A048D1"/>
    <w:rsid w:val="00A10190"/>
    <w:rsid w:val="00A156DD"/>
    <w:rsid w:val="00A1697E"/>
    <w:rsid w:val="00A2763B"/>
    <w:rsid w:val="00A612D1"/>
    <w:rsid w:val="00A63E67"/>
    <w:rsid w:val="00A646EE"/>
    <w:rsid w:val="00A90B8A"/>
    <w:rsid w:val="00A90E64"/>
    <w:rsid w:val="00A917D5"/>
    <w:rsid w:val="00AA0176"/>
    <w:rsid w:val="00AC3BF2"/>
    <w:rsid w:val="00AC6C8B"/>
    <w:rsid w:val="00AE3DF1"/>
    <w:rsid w:val="00B027A3"/>
    <w:rsid w:val="00B02D41"/>
    <w:rsid w:val="00B03D4A"/>
    <w:rsid w:val="00B11DB6"/>
    <w:rsid w:val="00B17DFE"/>
    <w:rsid w:val="00B327E4"/>
    <w:rsid w:val="00B40BD6"/>
    <w:rsid w:val="00B757C8"/>
    <w:rsid w:val="00B77359"/>
    <w:rsid w:val="00B84655"/>
    <w:rsid w:val="00BB3A70"/>
    <w:rsid w:val="00BB5BFD"/>
    <w:rsid w:val="00BC662C"/>
    <w:rsid w:val="00BD73C1"/>
    <w:rsid w:val="00BE14B8"/>
    <w:rsid w:val="00BF7B82"/>
    <w:rsid w:val="00C06BD8"/>
    <w:rsid w:val="00C10F4F"/>
    <w:rsid w:val="00C36BF2"/>
    <w:rsid w:val="00C65D5B"/>
    <w:rsid w:val="00C664D1"/>
    <w:rsid w:val="00C84C78"/>
    <w:rsid w:val="00C86779"/>
    <w:rsid w:val="00C87C8B"/>
    <w:rsid w:val="00C94AB7"/>
    <w:rsid w:val="00C95352"/>
    <w:rsid w:val="00CA0D1B"/>
    <w:rsid w:val="00CA3C0D"/>
    <w:rsid w:val="00CA649E"/>
    <w:rsid w:val="00CB32C5"/>
    <w:rsid w:val="00CC5FFF"/>
    <w:rsid w:val="00CE47E8"/>
    <w:rsid w:val="00CE634D"/>
    <w:rsid w:val="00CF598A"/>
    <w:rsid w:val="00D069D0"/>
    <w:rsid w:val="00D108B9"/>
    <w:rsid w:val="00D1230B"/>
    <w:rsid w:val="00D30BE4"/>
    <w:rsid w:val="00D30D83"/>
    <w:rsid w:val="00D310B6"/>
    <w:rsid w:val="00D3409B"/>
    <w:rsid w:val="00D373BA"/>
    <w:rsid w:val="00D87B96"/>
    <w:rsid w:val="00DC3130"/>
    <w:rsid w:val="00DD079A"/>
    <w:rsid w:val="00DE1DEA"/>
    <w:rsid w:val="00E129D2"/>
    <w:rsid w:val="00E15961"/>
    <w:rsid w:val="00E2095F"/>
    <w:rsid w:val="00E226A3"/>
    <w:rsid w:val="00E2476D"/>
    <w:rsid w:val="00E3260A"/>
    <w:rsid w:val="00E33A92"/>
    <w:rsid w:val="00E4058B"/>
    <w:rsid w:val="00E465F8"/>
    <w:rsid w:val="00E66359"/>
    <w:rsid w:val="00E80C76"/>
    <w:rsid w:val="00E82ABC"/>
    <w:rsid w:val="00E95143"/>
    <w:rsid w:val="00EA017F"/>
    <w:rsid w:val="00EA1891"/>
    <w:rsid w:val="00EB0743"/>
    <w:rsid w:val="00EB30C5"/>
    <w:rsid w:val="00ED3B01"/>
    <w:rsid w:val="00EE7707"/>
    <w:rsid w:val="00EF71AF"/>
    <w:rsid w:val="00F1148B"/>
    <w:rsid w:val="00F21F12"/>
    <w:rsid w:val="00F24A98"/>
    <w:rsid w:val="00F265DC"/>
    <w:rsid w:val="00F2767D"/>
    <w:rsid w:val="00F406AC"/>
    <w:rsid w:val="00F46E0F"/>
    <w:rsid w:val="00F515BF"/>
    <w:rsid w:val="00F83746"/>
    <w:rsid w:val="00FA570C"/>
    <w:rsid w:val="00FD7A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F7191-5B23-4AC9-A178-0767F1A7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6312"/>
    <w:pPr>
      <w:ind w:left="720"/>
      <w:contextualSpacing/>
    </w:pPr>
  </w:style>
  <w:style w:type="table" w:styleId="Grilledutableau">
    <w:name w:val="Table Grid"/>
    <w:basedOn w:val="TableauNormal"/>
    <w:uiPriority w:val="39"/>
    <w:rsid w:val="00B03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80C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0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1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1335</Words>
  <Characters>7345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Christophe GPS</dc:creator>
  <cp:keywords/>
  <dc:description/>
  <cp:lastModifiedBy>DENOUX Laurent</cp:lastModifiedBy>
  <cp:revision>2</cp:revision>
  <dcterms:created xsi:type="dcterms:W3CDTF">2022-02-08T16:26:00Z</dcterms:created>
  <dcterms:modified xsi:type="dcterms:W3CDTF">2022-02-08T16:26:00Z</dcterms:modified>
</cp:coreProperties>
</file>